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rPr>
          <w:rFonts w:ascii="Times New Roman"/>
          <w:sz w:val="20"/>
        </w:rPr>
      </w:pPr>
    </w:p>
    <w:p>
      <w:pPr>
        <w:pStyle w:val="2"/>
        <w:ind w:left="0"/>
        <w:rPr>
          <w:rFonts w:ascii="Times New Roman"/>
          <w:sz w:val="20"/>
        </w:rPr>
      </w:pPr>
    </w:p>
    <w:p>
      <w:pPr>
        <w:pStyle w:val="2"/>
        <w:ind w:left="0"/>
        <w:rPr>
          <w:rFonts w:ascii="Times New Roman"/>
          <w:sz w:val="20"/>
        </w:rPr>
      </w:pPr>
    </w:p>
    <w:p>
      <w:pPr>
        <w:pStyle w:val="2"/>
        <w:ind w:left="0"/>
        <w:rPr>
          <w:rFonts w:ascii="Times New Roman"/>
          <w:sz w:val="20"/>
        </w:rPr>
      </w:pPr>
    </w:p>
    <w:p>
      <w:pPr>
        <w:pStyle w:val="2"/>
        <w:ind w:left="0"/>
        <w:rPr>
          <w:rFonts w:ascii="Times New Roman"/>
          <w:sz w:val="20"/>
        </w:rPr>
      </w:pPr>
    </w:p>
    <w:p>
      <w:pPr>
        <w:pStyle w:val="2"/>
        <w:ind w:left="0"/>
        <w:rPr>
          <w:rFonts w:ascii="Times New Roman"/>
          <w:sz w:val="20"/>
        </w:rPr>
      </w:pPr>
    </w:p>
    <w:p>
      <w:pPr>
        <w:pStyle w:val="2"/>
        <w:ind w:left="0"/>
        <w:rPr>
          <w:rFonts w:ascii="Times New Roman"/>
          <w:sz w:val="20"/>
        </w:rPr>
      </w:pPr>
    </w:p>
    <w:p>
      <w:pPr>
        <w:pStyle w:val="2"/>
        <w:spacing w:before="10"/>
        <w:ind w:left="0"/>
        <w:rPr>
          <w:rFonts w:ascii="Times New Roman"/>
          <w:sz w:val="18"/>
        </w:rPr>
      </w:pPr>
    </w:p>
    <w:p>
      <w:pPr>
        <w:pStyle w:val="3"/>
      </w:pPr>
      <w:r>
        <w:rPr>
          <w:spacing w:val="-3"/>
        </w:rPr>
        <w:t>洛扎县国土空间总体规划动态维护方案</w:t>
      </w:r>
    </w:p>
    <w:p>
      <w:pPr>
        <w:pStyle w:val="3"/>
        <w:spacing w:line="892" w:lineRule="exact"/>
      </w:pPr>
      <w:r>
        <w:t>（</w:t>
      </w:r>
      <w:r>
        <w:rPr>
          <w:rFonts w:ascii="Times New Roman" w:eastAsia="Times New Roman"/>
        </w:rPr>
        <w:t>2026</w:t>
      </w:r>
      <w:r>
        <w:t>年度</w:t>
      </w:r>
      <w:r>
        <w:rPr>
          <w:spacing w:val="-10"/>
        </w:rPr>
        <w:t>）</w:t>
      </w:r>
    </w:p>
    <w:p>
      <w:pPr>
        <w:tabs>
          <w:tab w:val="left" w:pos="959"/>
        </w:tabs>
        <w:spacing w:before="0" w:line="860" w:lineRule="exact"/>
        <w:ind w:left="0" w:right="324" w:firstLine="0"/>
        <w:jc w:val="center"/>
        <w:rPr>
          <w:rFonts w:ascii="微软雅黑" w:eastAsia="微软雅黑"/>
          <w:sz w:val="48"/>
        </w:rPr>
      </w:pPr>
      <w:r>
        <w:rPr>
          <w:rFonts w:ascii="微软雅黑" w:eastAsia="微软雅黑"/>
          <w:spacing w:val="-10"/>
          <w:sz w:val="48"/>
        </w:rPr>
        <w:t>草</w:t>
      </w:r>
      <w:r>
        <w:rPr>
          <w:rFonts w:ascii="微软雅黑" w:eastAsia="微软雅黑"/>
          <w:sz w:val="48"/>
        </w:rPr>
        <w:tab/>
      </w:r>
      <w:r>
        <w:rPr>
          <w:rFonts w:ascii="微软雅黑" w:eastAsia="微软雅黑"/>
          <w:spacing w:val="-10"/>
          <w:sz w:val="48"/>
        </w:rPr>
        <w:t>案</w:t>
      </w:r>
    </w:p>
    <w:p>
      <w:pPr>
        <w:pStyle w:val="2"/>
        <w:ind w:left="0"/>
        <w:rPr>
          <w:rFonts w:ascii="微软雅黑"/>
          <w:sz w:val="62"/>
        </w:rPr>
      </w:pPr>
    </w:p>
    <w:p>
      <w:pPr>
        <w:pStyle w:val="2"/>
        <w:ind w:left="0"/>
        <w:rPr>
          <w:rFonts w:ascii="微软雅黑"/>
          <w:sz w:val="62"/>
        </w:rPr>
      </w:pPr>
    </w:p>
    <w:p>
      <w:pPr>
        <w:pStyle w:val="2"/>
        <w:ind w:left="0"/>
        <w:rPr>
          <w:rFonts w:ascii="微软雅黑"/>
          <w:sz w:val="62"/>
        </w:rPr>
      </w:pPr>
    </w:p>
    <w:p>
      <w:pPr>
        <w:pStyle w:val="2"/>
        <w:ind w:left="0"/>
        <w:rPr>
          <w:rFonts w:ascii="微软雅黑"/>
          <w:sz w:val="62"/>
        </w:rPr>
      </w:pPr>
    </w:p>
    <w:p>
      <w:pPr>
        <w:pStyle w:val="2"/>
        <w:ind w:left="0"/>
        <w:rPr>
          <w:rFonts w:ascii="微软雅黑"/>
          <w:sz w:val="62"/>
        </w:rPr>
      </w:pPr>
    </w:p>
    <w:p>
      <w:pPr>
        <w:pStyle w:val="2"/>
        <w:spacing w:before="4"/>
        <w:ind w:left="0"/>
        <w:rPr>
          <w:rFonts w:ascii="微软雅黑"/>
          <w:sz w:val="73"/>
        </w:rPr>
      </w:pPr>
    </w:p>
    <w:p>
      <w:pPr>
        <w:spacing w:before="0"/>
        <w:ind w:left="0" w:right="324" w:firstLine="0"/>
        <w:jc w:val="center"/>
        <w:rPr>
          <w:rFonts w:ascii="宋体" w:eastAsia="宋体"/>
          <w:sz w:val="36"/>
        </w:rPr>
      </w:pPr>
      <w:r>
        <w:rPr>
          <w:rFonts w:ascii="宋体" w:eastAsia="宋体"/>
          <w:spacing w:val="-2"/>
          <w:sz w:val="36"/>
        </w:rPr>
        <w:t>洛扎县人民政府</w:t>
      </w:r>
    </w:p>
    <w:p>
      <w:pPr>
        <w:pStyle w:val="2"/>
        <w:spacing w:before="10"/>
        <w:ind w:left="0"/>
        <w:rPr>
          <w:rFonts w:ascii="宋体"/>
          <w:sz w:val="31"/>
        </w:rPr>
      </w:pPr>
    </w:p>
    <w:p>
      <w:pPr>
        <w:spacing w:before="0"/>
        <w:ind w:left="3706" w:right="4033" w:firstLine="0"/>
        <w:jc w:val="center"/>
        <w:rPr>
          <w:rFonts w:ascii="宋体" w:eastAsia="宋体"/>
          <w:sz w:val="36"/>
        </w:rPr>
      </w:pPr>
      <w:r>
        <w:rPr>
          <w:rFonts w:ascii="Times New Roman" w:eastAsia="Times New Roman"/>
          <w:sz w:val="36"/>
        </w:rPr>
        <w:t>2026</w:t>
      </w:r>
      <w:r>
        <w:rPr>
          <w:rFonts w:ascii="宋体" w:eastAsia="宋体"/>
          <w:sz w:val="36"/>
        </w:rPr>
        <w:t>年</w:t>
      </w:r>
      <w:r>
        <w:rPr>
          <w:rFonts w:ascii="Times New Roman" w:eastAsia="Times New Roman"/>
          <w:sz w:val="36"/>
        </w:rPr>
        <w:t>7</w:t>
      </w:r>
      <w:r>
        <w:rPr>
          <w:rFonts w:ascii="宋体" w:eastAsia="宋体"/>
          <w:spacing w:val="-10"/>
          <w:sz w:val="36"/>
        </w:rPr>
        <w:t>月</w:t>
      </w:r>
    </w:p>
    <w:p>
      <w:pPr>
        <w:spacing w:after="0"/>
        <w:jc w:val="center"/>
        <w:rPr>
          <w:rFonts w:ascii="宋体" w:eastAsia="宋体"/>
          <w:sz w:val="36"/>
        </w:rPr>
        <w:sectPr>
          <w:type w:val="continuous"/>
          <w:pgSz w:w="11910" w:h="16840"/>
          <w:pgMar w:top="1920" w:right="1040" w:bottom="280" w:left="1480" w:header="720" w:footer="720" w:gutter="0"/>
          <w:cols w:space="720" w:num="1"/>
        </w:sectPr>
      </w:pPr>
    </w:p>
    <w:p>
      <w:pPr>
        <w:pStyle w:val="2"/>
        <w:spacing w:before="10"/>
        <w:ind w:left="0"/>
        <w:rPr>
          <w:rFonts w:ascii="宋体"/>
          <w:sz w:val="20"/>
        </w:rPr>
      </w:pPr>
    </w:p>
    <w:p>
      <w:pPr>
        <w:pStyle w:val="2"/>
        <w:spacing w:before="54"/>
        <w:ind w:left="747"/>
        <w:rPr>
          <w:rFonts w:ascii="黑体" w:eastAsia="黑体"/>
        </w:rPr>
      </w:pPr>
      <w:r>
        <w:rPr>
          <w:rFonts w:ascii="黑体" w:eastAsia="黑体"/>
          <w:w w:val="95"/>
        </w:rPr>
        <w:t>一、总</w:t>
      </w:r>
      <w:r>
        <w:rPr>
          <w:rFonts w:ascii="黑体" w:eastAsia="黑体"/>
          <w:spacing w:val="-10"/>
          <w:w w:val="95"/>
        </w:rPr>
        <w:t>则</w:t>
      </w:r>
    </w:p>
    <w:p>
      <w:pPr>
        <w:pStyle w:val="2"/>
        <w:spacing w:before="190"/>
        <w:ind w:left="747"/>
        <w:rPr>
          <w:rFonts w:ascii="楷体" w:eastAsia="楷体"/>
        </w:rPr>
      </w:pPr>
      <w:r>
        <w:rPr>
          <w:rFonts w:ascii="楷体" w:eastAsia="楷体"/>
          <w:w w:val="95"/>
        </w:rPr>
        <w:t>（一）编制目</w:t>
      </w:r>
      <w:r>
        <w:rPr>
          <w:rFonts w:ascii="楷体" w:eastAsia="楷体"/>
          <w:spacing w:val="-10"/>
          <w:w w:val="95"/>
        </w:rPr>
        <w:t>的</w:t>
      </w:r>
    </w:p>
    <w:p>
      <w:pPr>
        <w:pStyle w:val="2"/>
        <w:spacing w:before="159" w:line="328" w:lineRule="auto"/>
        <w:ind w:right="274" w:firstLine="640"/>
      </w:pPr>
      <w:r>
        <w:rPr>
          <w:spacing w:val="6"/>
          <w:w w:val="99"/>
        </w:rPr>
        <w:t>深入贯彻国家关于国土空间规划体系改革与动态治理的要</w:t>
      </w:r>
      <w:r>
        <w:rPr>
          <w:spacing w:val="-8"/>
          <w:w w:val="99"/>
        </w:rPr>
        <w:t>求，适应国家区域重大战略深入实施、西藏自治区、山南市“十</w:t>
      </w:r>
      <w:r>
        <w:rPr>
          <w:spacing w:val="-11"/>
          <w:w w:val="99"/>
        </w:rPr>
        <w:t>五五”高质量发展等战略对空间保障的迫切需要，积极促进洛扎</w:t>
      </w:r>
      <w:r>
        <w:rPr>
          <w:spacing w:val="-9"/>
          <w:w w:val="99"/>
        </w:rPr>
        <w:t>县重点产业发展，保障重大项目用地需求，对《洛扎县国土空间总体规划</w:t>
      </w:r>
      <w:r>
        <w:rPr>
          <w:w w:val="99"/>
        </w:rPr>
        <w:t>（</w:t>
      </w:r>
      <w:r>
        <w:rPr>
          <w:spacing w:val="1"/>
          <w:w w:val="99"/>
        </w:rPr>
        <w:t>20</w:t>
      </w:r>
      <w:r>
        <w:rPr>
          <w:spacing w:val="-2"/>
          <w:w w:val="99"/>
        </w:rPr>
        <w:t>2</w:t>
      </w:r>
      <w:r>
        <w:rPr>
          <w:spacing w:val="1"/>
          <w:w w:val="99"/>
        </w:rPr>
        <w:t>1</w:t>
      </w:r>
      <w:r>
        <w:rPr>
          <w:w w:val="99"/>
        </w:rPr>
        <w:t>—</w:t>
      </w:r>
      <w:r>
        <w:rPr>
          <w:spacing w:val="1"/>
          <w:w w:val="99"/>
        </w:rPr>
        <w:t>20</w:t>
      </w:r>
      <w:r>
        <w:rPr>
          <w:spacing w:val="-2"/>
          <w:w w:val="99"/>
        </w:rPr>
        <w:t>3</w:t>
      </w:r>
      <w:r>
        <w:rPr>
          <w:w w:val="99"/>
        </w:rPr>
        <w:t>5</w:t>
      </w:r>
      <w:r>
        <w:rPr>
          <w:spacing w:val="2"/>
          <w:w w:val="99"/>
        </w:rPr>
        <w:t>年</w:t>
      </w:r>
      <w:r>
        <w:rPr>
          <w:spacing w:val="-29"/>
          <w:w w:val="99"/>
        </w:rPr>
        <w:t>）</w:t>
      </w:r>
      <w:r>
        <w:rPr>
          <w:spacing w:val="-53"/>
          <w:w w:val="99"/>
        </w:rPr>
        <w:t>》</w:t>
      </w:r>
      <w:r>
        <w:rPr>
          <w:w w:val="99"/>
        </w:rPr>
        <w:t>（</w:t>
      </w:r>
      <w:r>
        <w:rPr>
          <w:spacing w:val="-7"/>
          <w:w w:val="99"/>
        </w:rPr>
        <w:t>以下简称《总体规划》</w:t>
      </w:r>
      <w:r>
        <w:rPr>
          <w:spacing w:val="-27"/>
          <w:w w:val="99"/>
        </w:rPr>
        <w:t>）</w:t>
      </w:r>
      <w:r>
        <w:rPr>
          <w:w w:val="99"/>
        </w:rPr>
        <w:t>开展动</w:t>
      </w:r>
      <w:r>
        <w:rPr>
          <w:spacing w:val="-11"/>
          <w:w w:val="99"/>
        </w:rPr>
        <w:t>态维护。本次动态维护在不突破上位规划确定的各项保护目标和</w:t>
      </w:r>
      <w:r>
        <w:rPr>
          <w:w w:val="99"/>
        </w:rPr>
        <w:t>控制指标基础上，局部正向优化“三条控制线”，对规划分区、</w:t>
      </w:r>
      <w:r>
        <w:rPr>
          <w:spacing w:val="-10"/>
          <w:w w:val="99"/>
        </w:rPr>
        <w:t>中心城区用地布局、城市重要控制线、重点建设项目清单等进行</w:t>
      </w:r>
      <w:r>
        <w:rPr>
          <w:spacing w:val="-3"/>
          <w:w w:val="99"/>
        </w:rPr>
        <w:t>正向优化。</w:t>
      </w:r>
    </w:p>
    <w:p>
      <w:pPr>
        <w:pStyle w:val="2"/>
        <w:spacing w:before="16"/>
        <w:ind w:left="747"/>
        <w:rPr>
          <w:rFonts w:ascii="楷体" w:eastAsia="楷体"/>
        </w:rPr>
      </w:pPr>
      <w:r>
        <w:rPr>
          <w:rFonts w:ascii="楷体" w:eastAsia="楷体"/>
          <w:w w:val="95"/>
        </w:rPr>
        <w:t>（二）编制依</w:t>
      </w:r>
      <w:r>
        <w:rPr>
          <w:rFonts w:ascii="楷体" w:eastAsia="楷体"/>
          <w:spacing w:val="-10"/>
          <w:w w:val="95"/>
        </w:rPr>
        <w:t>据</w:t>
      </w:r>
    </w:p>
    <w:p>
      <w:pPr>
        <w:pStyle w:val="2"/>
        <w:spacing w:before="159"/>
        <w:ind w:left="747"/>
      </w:pPr>
      <w:r>
        <w:rPr>
          <w:w w:val="95"/>
        </w:rPr>
        <w:t>《中华人民共和国土地管理法》（2019年修正</w:t>
      </w:r>
      <w:r>
        <w:rPr>
          <w:spacing w:val="-5"/>
          <w:w w:val="95"/>
        </w:rPr>
        <w:t>）；</w:t>
      </w:r>
    </w:p>
    <w:p>
      <w:pPr>
        <w:pStyle w:val="2"/>
        <w:spacing w:before="149"/>
        <w:ind w:left="747"/>
      </w:pPr>
      <w:r>
        <w:rPr>
          <w:w w:val="95"/>
        </w:rPr>
        <w:t>《中华人民共和国城乡规划法》（2019年修正</w:t>
      </w:r>
      <w:r>
        <w:rPr>
          <w:spacing w:val="-5"/>
          <w:w w:val="95"/>
        </w:rPr>
        <w:t>）；</w:t>
      </w:r>
    </w:p>
    <w:p>
      <w:pPr>
        <w:pStyle w:val="2"/>
        <w:spacing w:before="149"/>
        <w:ind w:left="747"/>
      </w:pPr>
      <w:r>
        <w:rPr>
          <w:w w:val="95"/>
        </w:rPr>
        <w:t>《中华人民共和国青藏高原生态保护法》（2023年</w:t>
      </w:r>
      <w:r>
        <w:rPr>
          <w:spacing w:val="-5"/>
          <w:w w:val="95"/>
        </w:rPr>
        <w:t>）；</w:t>
      </w:r>
    </w:p>
    <w:p>
      <w:pPr>
        <w:pStyle w:val="2"/>
        <w:spacing w:before="152" w:line="326" w:lineRule="auto"/>
        <w:ind w:right="433" w:firstLine="640"/>
      </w:pPr>
      <w:r>
        <w:rPr>
          <w:spacing w:val="-2"/>
        </w:rPr>
        <w:t>《中共中央</w:t>
      </w:r>
      <w:r>
        <w:rPr>
          <w:rFonts w:hint="eastAsia"/>
          <w:spacing w:val="-2"/>
          <w:lang w:val="en-US" w:eastAsia="zh-CN"/>
        </w:rPr>
        <w:t xml:space="preserve"> </w:t>
      </w:r>
      <w:r>
        <w:rPr>
          <w:spacing w:val="-2"/>
        </w:rPr>
        <w:t>国务院关于建立国土空间规划体系并监督实施</w:t>
      </w:r>
      <w:r>
        <w:t>的若干意见》（中发〔2019〕18</w:t>
      </w:r>
      <w:r>
        <w:rPr>
          <w:spacing w:val="-23"/>
        </w:rPr>
        <w:t>号</w:t>
      </w:r>
      <w:r>
        <w:t>）；</w:t>
      </w:r>
    </w:p>
    <w:p>
      <w:pPr>
        <w:pStyle w:val="2"/>
        <w:spacing w:before="3" w:line="328" w:lineRule="auto"/>
        <w:ind w:right="274" w:firstLine="640"/>
      </w:pPr>
      <w:r>
        <w:t>《中共西藏自治区委员会 西藏自治区人民政府关于建立国</w:t>
      </w:r>
      <w:r>
        <w:rPr>
          <w:w w:val="95"/>
        </w:rPr>
        <w:t>土空间规划体系并监督实施的实施意</w:t>
      </w:r>
      <w:r>
        <w:rPr>
          <w:spacing w:val="-129"/>
          <w:w w:val="95"/>
        </w:rPr>
        <w:t>见》</w:t>
      </w:r>
      <w:r>
        <w:rPr>
          <w:w w:val="95"/>
        </w:rPr>
        <w:t>（藏</w:t>
      </w:r>
      <w:r>
        <w:rPr>
          <w:spacing w:val="-43"/>
          <w:w w:val="95"/>
        </w:rPr>
        <w:t>党发〔</w:t>
      </w:r>
      <w:r>
        <w:rPr>
          <w:w w:val="95"/>
        </w:rPr>
        <w:t>2020</w:t>
      </w:r>
      <w:r>
        <w:rPr>
          <w:spacing w:val="-127"/>
          <w:w w:val="95"/>
        </w:rPr>
        <w:t>〕</w:t>
      </w:r>
      <w:r>
        <w:rPr>
          <w:w w:val="95"/>
        </w:rPr>
        <w:t>21号</w:t>
      </w:r>
      <w:r>
        <w:rPr>
          <w:spacing w:val="-159"/>
          <w:w w:val="95"/>
        </w:rPr>
        <w:t>）</w:t>
      </w:r>
      <w:r>
        <w:rPr>
          <w:w w:val="95"/>
        </w:rPr>
        <w:t>；</w:t>
      </w:r>
    </w:p>
    <w:p>
      <w:pPr>
        <w:pStyle w:val="2"/>
        <w:spacing w:line="326" w:lineRule="auto"/>
        <w:ind w:right="433" w:firstLine="640"/>
      </w:pPr>
      <w:r>
        <w:t>《永久基本农田保护红线管理办法》（自然资源部 农业农村部令第17</w:t>
      </w:r>
      <w:r>
        <w:rPr>
          <w:spacing w:val="-10"/>
        </w:rPr>
        <w:t>号</w:t>
      </w:r>
      <w:r>
        <w:t>）；</w:t>
      </w:r>
    </w:p>
    <w:p>
      <w:pPr>
        <w:pStyle w:val="2"/>
        <w:spacing w:before="3"/>
        <w:ind w:left="747"/>
      </w:pPr>
      <w:r>
        <w:t>《自然资源</w:t>
      </w:r>
      <w:r>
        <w:rPr>
          <w:spacing w:val="16"/>
        </w:rPr>
        <w:t>部 生态</w:t>
      </w:r>
      <w:r>
        <w:t>环境</w:t>
      </w:r>
      <w:r>
        <w:rPr>
          <w:spacing w:val="17"/>
        </w:rPr>
        <w:t>部 国家</w:t>
      </w:r>
      <w:r>
        <w:t>林业和草原局关于加强</w:t>
      </w:r>
      <w:r>
        <w:rPr>
          <w:spacing w:val="-10"/>
        </w:rPr>
        <w:t>生</w:t>
      </w:r>
    </w:p>
    <w:p>
      <w:pPr>
        <w:spacing w:after="0"/>
        <w:sectPr>
          <w:footerReference r:id="rId5" w:type="default"/>
          <w:pgSz w:w="11910" w:h="16840"/>
          <w:pgMar w:top="1920" w:right="1040" w:bottom="1460" w:left="1480" w:header="0" w:footer="1274" w:gutter="0"/>
          <w:pgNumType w:start="1"/>
          <w:cols w:space="720" w:num="1"/>
        </w:sectPr>
      </w:pPr>
    </w:p>
    <w:p>
      <w:pPr>
        <w:pStyle w:val="2"/>
        <w:spacing w:before="4"/>
        <w:ind w:left="0"/>
        <w:rPr>
          <w:sz w:val="18"/>
        </w:rPr>
      </w:pPr>
    </w:p>
    <w:p>
      <w:pPr>
        <w:pStyle w:val="2"/>
        <w:spacing w:before="54"/>
      </w:pPr>
      <w:r>
        <w:rPr>
          <w:w w:val="95"/>
        </w:rPr>
        <w:t>态保护红线管理的通知（试行）》（自然资发〔2022〕142号</w:t>
      </w:r>
      <w:r>
        <w:rPr>
          <w:spacing w:val="-5"/>
          <w:w w:val="95"/>
        </w:rPr>
        <w:t>）；</w:t>
      </w:r>
    </w:p>
    <w:p>
      <w:pPr>
        <w:pStyle w:val="2"/>
        <w:spacing w:before="150" w:line="326" w:lineRule="auto"/>
        <w:ind w:right="274" w:firstLine="640"/>
      </w:pPr>
      <w:r>
        <w:rPr>
          <w:spacing w:val="2"/>
          <w:w w:val="99"/>
        </w:rPr>
        <w:t>《自然资源部关于印发〈城镇开发边界管理办法（试行）</w:t>
      </w:r>
      <w:r>
        <w:rPr>
          <w:w w:val="99"/>
        </w:rPr>
        <w:t>〉的通知》</w:t>
      </w:r>
      <w:r>
        <w:rPr>
          <w:spacing w:val="2"/>
          <w:w w:val="99"/>
        </w:rPr>
        <w:t>（</w:t>
      </w:r>
      <w:r>
        <w:rPr>
          <w:w w:val="99"/>
        </w:rPr>
        <w:t>自然资规〔</w:t>
      </w:r>
      <w:r>
        <w:rPr>
          <w:spacing w:val="1"/>
          <w:w w:val="99"/>
        </w:rPr>
        <w:t>2</w:t>
      </w:r>
      <w:r>
        <w:rPr>
          <w:spacing w:val="-2"/>
          <w:w w:val="99"/>
        </w:rPr>
        <w:t>0</w:t>
      </w:r>
      <w:r>
        <w:rPr>
          <w:spacing w:val="1"/>
          <w:w w:val="99"/>
        </w:rPr>
        <w:t>2</w:t>
      </w:r>
      <w:r>
        <w:rPr>
          <w:spacing w:val="-2"/>
          <w:w w:val="99"/>
        </w:rPr>
        <w:t>6</w:t>
      </w:r>
      <w:r>
        <w:rPr>
          <w:spacing w:val="2"/>
          <w:w w:val="99"/>
        </w:rPr>
        <w:t>〕</w:t>
      </w:r>
      <w:r>
        <w:rPr>
          <w:w w:val="99"/>
        </w:rPr>
        <w:t>1号</w:t>
      </w:r>
      <w:r>
        <w:rPr>
          <w:spacing w:val="2"/>
          <w:w w:val="99"/>
        </w:rPr>
        <w:t>）</w:t>
      </w:r>
      <w:r>
        <w:rPr>
          <w:w w:val="99"/>
        </w:rPr>
        <w:t>；</w:t>
      </w:r>
    </w:p>
    <w:p>
      <w:pPr>
        <w:pStyle w:val="2"/>
        <w:spacing w:before="5" w:line="326" w:lineRule="auto"/>
        <w:ind w:right="433" w:firstLine="640"/>
      </w:pPr>
      <w:r>
        <w:rPr>
          <w:spacing w:val="-2"/>
        </w:rPr>
        <w:t>《自然资源部国土空间规划局关于国土空间总体规划动态调整完善工作有关问题的答复》；</w:t>
      </w:r>
    </w:p>
    <w:p>
      <w:pPr>
        <w:pStyle w:val="2"/>
        <w:spacing w:before="3"/>
        <w:ind w:left="747"/>
      </w:pPr>
      <w:r>
        <w:rPr>
          <w:w w:val="95"/>
        </w:rPr>
        <w:t>《西藏自治区冰川保护条例》</w:t>
      </w:r>
      <w:r>
        <w:rPr>
          <w:spacing w:val="-10"/>
          <w:w w:val="95"/>
        </w:rPr>
        <w:t>；</w:t>
      </w:r>
    </w:p>
    <w:p>
      <w:pPr>
        <w:pStyle w:val="2"/>
        <w:spacing w:before="152" w:line="326" w:lineRule="auto"/>
        <w:ind w:right="433" w:firstLine="640"/>
      </w:pPr>
      <w:r>
        <w:rPr>
          <w:spacing w:val="-2"/>
        </w:rPr>
        <w:t>《西藏自治区自然资源厅关于开展国土空间总体规划动态</w:t>
      </w:r>
      <w:r>
        <w:t>维护调整完善工作的通知》（藏自然资发〔2026〕4</w:t>
      </w:r>
      <w:r>
        <w:rPr>
          <w:spacing w:val="-21"/>
        </w:rPr>
        <w:t>号</w:t>
      </w:r>
      <w:r>
        <w:t>）；</w:t>
      </w:r>
    </w:p>
    <w:p>
      <w:pPr>
        <w:pStyle w:val="2"/>
        <w:spacing w:before="3" w:line="328" w:lineRule="auto"/>
        <w:ind w:right="274" w:firstLine="640"/>
      </w:pPr>
      <w:r>
        <w:rPr>
          <w:spacing w:val="-2"/>
        </w:rPr>
        <w:t>《西藏自治区自然资源厅关于</w:t>
      </w:r>
      <w:r>
        <w:rPr>
          <w:spacing w:val="-59"/>
        </w:rPr>
        <w:t>印发</w:t>
      </w:r>
      <w:r>
        <w:rPr>
          <w:spacing w:val="-2"/>
        </w:rPr>
        <w:t>〈西藏自治区城镇开发边</w:t>
      </w:r>
      <w:r>
        <w:rPr>
          <w:w w:val="95"/>
        </w:rPr>
        <w:t>界管理实</w:t>
      </w:r>
      <w:r>
        <w:rPr>
          <w:spacing w:val="-24"/>
          <w:w w:val="95"/>
        </w:rPr>
        <w:t>施细则</w:t>
      </w:r>
      <w:r>
        <w:rPr>
          <w:w w:val="95"/>
        </w:rPr>
        <w:t>（试行</w:t>
      </w:r>
      <w:r>
        <w:rPr>
          <w:spacing w:val="-75"/>
          <w:w w:val="95"/>
        </w:rPr>
        <w:t>）</w:t>
      </w:r>
      <w:r>
        <w:rPr>
          <w:spacing w:val="-44"/>
          <w:w w:val="95"/>
        </w:rPr>
        <w:t>〉的通知》</w:t>
      </w:r>
      <w:r>
        <w:rPr>
          <w:w w:val="95"/>
        </w:rPr>
        <w:t>（藏自然资</w:t>
      </w:r>
      <w:r>
        <w:rPr>
          <w:spacing w:val="-35"/>
          <w:w w:val="95"/>
        </w:rPr>
        <w:t>发〔</w:t>
      </w:r>
      <w:r>
        <w:rPr>
          <w:w w:val="95"/>
        </w:rPr>
        <w:t>2024</w:t>
      </w:r>
      <w:r>
        <w:rPr>
          <w:spacing w:val="-72"/>
          <w:w w:val="95"/>
        </w:rPr>
        <w:t>〕</w:t>
      </w:r>
      <w:r>
        <w:rPr>
          <w:w w:val="95"/>
        </w:rPr>
        <w:t>70号</w:t>
      </w:r>
      <w:r>
        <w:rPr>
          <w:spacing w:val="-159"/>
          <w:w w:val="95"/>
        </w:rPr>
        <w:t>）</w:t>
      </w:r>
      <w:r>
        <w:rPr>
          <w:w w:val="95"/>
        </w:rPr>
        <w:t>；</w:t>
      </w:r>
    </w:p>
    <w:p>
      <w:pPr>
        <w:pStyle w:val="2"/>
        <w:spacing w:line="326" w:lineRule="auto"/>
        <w:ind w:left="747" w:right="1518"/>
      </w:pPr>
      <w:r>
        <w:rPr>
          <w:w w:val="95"/>
        </w:rPr>
        <w:t>《洛扎县国土空间总体规划（2021—2035年）》；</w:t>
      </w:r>
      <w:r>
        <w:rPr>
          <w:spacing w:val="-2"/>
        </w:rPr>
        <w:t>其他相关法律法规、政策文件及标准规范。</w:t>
      </w:r>
    </w:p>
    <w:p>
      <w:pPr>
        <w:pStyle w:val="2"/>
        <w:spacing w:before="34"/>
        <w:ind w:left="747"/>
        <w:rPr>
          <w:rFonts w:ascii="楷体" w:eastAsia="楷体"/>
        </w:rPr>
      </w:pPr>
      <w:r>
        <w:rPr>
          <w:rFonts w:ascii="楷体" w:eastAsia="楷体"/>
          <w:w w:val="95"/>
        </w:rPr>
        <w:t>（三）编制范</w:t>
      </w:r>
      <w:r>
        <w:rPr>
          <w:rFonts w:ascii="楷体" w:eastAsia="楷体"/>
          <w:spacing w:val="-10"/>
          <w:w w:val="95"/>
        </w:rPr>
        <w:t>围</w:t>
      </w:r>
    </w:p>
    <w:p>
      <w:pPr>
        <w:pStyle w:val="2"/>
        <w:spacing w:before="159" w:line="328" w:lineRule="auto"/>
        <w:ind w:right="433" w:firstLine="640"/>
        <w:jc w:val="both"/>
      </w:pPr>
      <w:r>
        <w:rPr>
          <w:spacing w:val="-9"/>
          <w:w w:val="99"/>
        </w:rPr>
        <w:t>规划范围包括洛扎县域、中心城区两个空间层次。县域层次</w:t>
      </w:r>
      <w:r>
        <w:rPr>
          <w:spacing w:val="1"/>
          <w:w w:val="99"/>
        </w:rPr>
        <w:t>为洛扎县全域。中心城区层次为洛扎县政府驻地，东至G2</w:t>
      </w:r>
      <w:r>
        <w:rPr>
          <w:spacing w:val="-2"/>
          <w:w w:val="99"/>
        </w:rPr>
        <w:t>1</w:t>
      </w:r>
      <w:r>
        <w:rPr>
          <w:w w:val="99"/>
        </w:rPr>
        <w:t>9与</w:t>
      </w:r>
      <w:r>
        <w:rPr>
          <w:spacing w:val="-10"/>
          <w:w w:val="99"/>
        </w:rPr>
        <w:t>麻木路交叉路口，西至洛扎雄曲，南至自然山体山脚，北至洛扎</w:t>
      </w:r>
      <w:r>
        <w:rPr>
          <w:spacing w:val="-2"/>
          <w:w w:val="99"/>
        </w:rPr>
        <w:t>雄曲边界和山脚。</w:t>
      </w:r>
    </w:p>
    <w:p>
      <w:pPr>
        <w:pStyle w:val="2"/>
        <w:spacing w:before="24"/>
        <w:ind w:left="747"/>
        <w:rPr>
          <w:rFonts w:ascii="楷体" w:eastAsia="楷体"/>
        </w:rPr>
      </w:pPr>
      <w:r>
        <w:rPr>
          <w:rFonts w:ascii="楷体" w:eastAsia="楷体"/>
          <w:w w:val="95"/>
        </w:rPr>
        <w:t>（四）维护核心</w:t>
      </w:r>
      <w:r>
        <w:rPr>
          <w:rFonts w:ascii="楷体" w:eastAsia="楷体"/>
          <w:spacing w:val="-5"/>
          <w:w w:val="95"/>
        </w:rPr>
        <w:t>任务</w:t>
      </w:r>
    </w:p>
    <w:p>
      <w:pPr>
        <w:pStyle w:val="2"/>
        <w:spacing w:before="159" w:line="326" w:lineRule="auto"/>
        <w:ind w:right="274" w:firstLine="640"/>
      </w:pPr>
      <w:r>
        <w:rPr>
          <w:spacing w:val="-15"/>
          <w:w w:val="99"/>
        </w:rPr>
        <w:t>本次规划动态维护重点内容包括“三条控制线”、规划分区、</w:t>
      </w:r>
      <w:r>
        <w:rPr>
          <w:spacing w:val="-18"/>
          <w:w w:val="99"/>
        </w:rPr>
        <w:t>中心城区用地规划布局、城市重要控制线、重点建设项目清单等。</w:t>
      </w:r>
    </w:p>
    <w:p>
      <w:pPr>
        <w:spacing w:after="0" w:line="326" w:lineRule="auto"/>
        <w:sectPr>
          <w:pgSz w:w="11910" w:h="16840"/>
          <w:pgMar w:top="1920" w:right="1040" w:bottom="1460" w:left="1480" w:header="0" w:footer="1274" w:gutter="0"/>
          <w:cols w:space="720" w:num="1"/>
        </w:sectPr>
      </w:pPr>
    </w:p>
    <w:p>
      <w:pPr>
        <w:pStyle w:val="2"/>
        <w:spacing w:before="10"/>
        <w:ind w:left="0"/>
        <w:rPr>
          <w:sz w:val="20"/>
        </w:rPr>
      </w:pPr>
    </w:p>
    <w:p>
      <w:pPr>
        <w:pStyle w:val="2"/>
        <w:spacing w:before="54"/>
        <w:ind w:left="747"/>
        <w:rPr>
          <w:rFonts w:ascii="黑体" w:eastAsia="黑体"/>
        </w:rPr>
      </w:pPr>
      <w:r>
        <w:rPr>
          <w:rFonts w:ascii="黑体" w:eastAsia="黑体"/>
          <w:w w:val="95"/>
        </w:rPr>
        <w:t>二、动态维护</w:t>
      </w:r>
      <w:r>
        <w:rPr>
          <w:rFonts w:ascii="黑体" w:eastAsia="黑体"/>
          <w:spacing w:val="-5"/>
          <w:w w:val="95"/>
        </w:rPr>
        <w:t>方案</w:t>
      </w:r>
    </w:p>
    <w:p>
      <w:pPr>
        <w:pStyle w:val="2"/>
        <w:spacing w:before="190"/>
        <w:ind w:left="747"/>
        <w:rPr>
          <w:rFonts w:ascii="楷体" w:eastAsia="楷体"/>
        </w:rPr>
      </w:pPr>
      <w:r>
        <w:rPr>
          <w:rFonts w:ascii="楷体" w:eastAsia="楷体"/>
          <w:w w:val="95"/>
        </w:rPr>
        <w:t>（一）空间管控边界维</w:t>
      </w:r>
      <w:r>
        <w:rPr>
          <w:rFonts w:ascii="楷体" w:eastAsia="楷体"/>
          <w:spacing w:val="-10"/>
          <w:w w:val="95"/>
        </w:rPr>
        <w:t>护</w:t>
      </w:r>
    </w:p>
    <w:p>
      <w:pPr>
        <w:pStyle w:val="7"/>
        <w:numPr>
          <w:ilvl w:val="0"/>
          <w:numId w:val="1"/>
        </w:numPr>
        <w:tabs>
          <w:tab w:val="left" w:pos="1074"/>
        </w:tabs>
        <w:spacing w:before="159" w:after="0" w:line="240" w:lineRule="auto"/>
        <w:ind w:left="1073" w:right="0" w:hanging="325"/>
        <w:jc w:val="left"/>
      </w:pPr>
      <w:r>
        <w:rPr>
          <w:spacing w:val="-1"/>
          <w:w w:val="95"/>
        </w:rPr>
        <w:t>耕地和永久基本农田保护红线</w:t>
      </w:r>
    </w:p>
    <w:p>
      <w:pPr>
        <w:pStyle w:val="2"/>
        <w:spacing w:before="149" w:line="328" w:lineRule="auto"/>
        <w:ind w:right="433" w:firstLine="640"/>
        <w:jc w:val="both"/>
      </w:pPr>
      <w:r>
        <w:rPr>
          <w:spacing w:val="-10"/>
          <w:w w:val="99"/>
        </w:rPr>
        <w:t>数量管控层面，严格落实刚性约束要求。充分衔接耕地保护和国土绿化空间专项规划成果，依据《国土空间总体规划动态调</w:t>
      </w:r>
      <w:r>
        <w:rPr>
          <w:spacing w:val="-11"/>
          <w:w w:val="99"/>
        </w:rPr>
        <w:t>整完善工作相关政策口径》，坚守数量底线，确保洛扎县耕地保</w:t>
      </w:r>
      <w:r>
        <w:rPr>
          <w:spacing w:val="7"/>
          <w:w w:val="99"/>
        </w:rPr>
        <w:t>有量不低于</w:t>
      </w:r>
      <w:r>
        <w:rPr>
          <w:spacing w:val="1"/>
          <w:w w:val="99"/>
        </w:rPr>
        <w:t>6</w:t>
      </w:r>
      <w:r>
        <w:rPr>
          <w:spacing w:val="-2"/>
          <w:w w:val="99"/>
        </w:rPr>
        <w:t>.</w:t>
      </w:r>
      <w:r>
        <w:rPr>
          <w:spacing w:val="1"/>
          <w:w w:val="99"/>
        </w:rPr>
        <w:t>2</w:t>
      </w:r>
      <w:r>
        <w:rPr>
          <w:w w:val="99"/>
        </w:rPr>
        <w:t>3</w:t>
      </w:r>
      <w:r>
        <w:rPr>
          <w:spacing w:val="8"/>
          <w:w w:val="99"/>
        </w:rPr>
        <w:t>万亩、永久基本农田保护面积不低于</w:t>
      </w:r>
      <w:r>
        <w:rPr>
          <w:spacing w:val="1"/>
          <w:w w:val="99"/>
        </w:rPr>
        <w:t>4</w:t>
      </w:r>
      <w:r>
        <w:rPr>
          <w:spacing w:val="-2"/>
          <w:w w:val="99"/>
        </w:rPr>
        <w:t>.</w:t>
      </w:r>
      <w:r>
        <w:rPr>
          <w:spacing w:val="1"/>
          <w:w w:val="99"/>
        </w:rPr>
        <w:t>4</w:t>
      </w:r>
      <w:r>
        <w:rPr>
          <w:w w:val="99"/>
        </w:rPr>
        <w:t>3万</w:t>
      </w:r>
      <w:r>
        <w:rPr>
          <w:spacing w:val="-11"/>
          <w:w w:val="99"/>
        </w:rPr>
        <w:t>亩，坚决守住耕地红线，保障粮食安全，实现耕地与永久基本农</w:t>
      </w:r>
      <w:r>
        <w:rPr>
          <w:spacing w:val="-2"/>
          <w:w w:val="99"/>
        </w:rPr>
        <w:t>田数量稳定、动态平衡，为优化调整工作筑牢数量基础。</w:t>
      </w:r>
    </w:p>
    <w:p>
      <w:pPr>
        <w:pStyle w:val="2"/>
        <w:spacing w:line="328" w:lineRule="auto"/>
        <w:ind w:right="274" w:firstLine="640"/>
      </w:pPr>
      <w:r>
        <w:rPr>
          <w:spacing w:val="-11"/>
          <w:w w:val="99"/>
        </w:rPr>
        <w:t>质量提升层面，强化提质增效导向。优化调整需聚焦质量提升核心，严格落实政策要求，确保水浇地占比不减少，持续提高</w:t>
      </w:r>
      <w:r>
        <w:rPr>
          <w:spacing w:val="-16"/>
          <w:w w:val="99"/>
        </w:rPr>
        <w:t>永久基本农田内高标准农田占比，推动耕地质量稳步提升。同时，</w:t>
      </w:r>
      <w:r>
        <w:rPr>
          <w:spacing w:val="1"/>
          <w:w w:val="99"/>
        </w:rPr>
        <w:t>逐步减少永久基本农田中1</w:t>
      </w:r>
      <w:r>
        <w:rPr>
          <w:w w:val="99"/>
        </w:rPr>
        <w:t>5</w:t>
      </w:r>
      <w:r>
        <w:rPr>
          <w:spacing w:val="1"/>
          <w:w w:val="99"/>
        </w:rPr>
        <w:t>度坡以上耕地面积，兼顾耕地质量</w:t>
      </w:r>
      <w:r>
        <w:rPr>
          <w:w w:val="99"/>
        </w:rPr>
        <w:t>与生态安全，提升永久基本农田综合生产能力。</w:t>
      </w:r>
    </w:p>
    <w:p>
      <w:pPr>
        <w:pStyle w:val="2"/>
        <w:spacing w:line="328" w:lineRule="auto"/>
        <w:ind w:right="431" w:firstLine="640"/>
        <w:jc w:val="both"/>
      </w:pPr>
      <w:r>
        <w:rPr>
          <w:spacing w:val="-11"/>
          <w:w w:val="99"/>
        </w:rPr>
        <w:t>布局优化层面，推动集约高效发展。按照政策口径要求，优</w:t>
      </w:r>
      <w:r>
        <w:rPr>
          <w:spacing w:val="-9"/>
          <w:w w:val="99"/>
        </w:rPr>
        <w:t>化永久基本农田空间布局，着力提高耕地集中连片程度，重点减</w:t>
      </w:r>
      <w:r>
        <w:rPr>
          <w:spacing w:val="-3"/>
          <w:w w:val="99"/>
        </w:rPr>
        <w:t>少平原地区</w:t>
      </w:r>
      <w:r>
        <w:rPr>
          <w:w w:val="99"/>
        </w:rPr>
        <w:t>5</w:t>
      </w:r>
      <w:r>
        <w:rPr>
          <w:spacing w:val="-13"/>
          <w:w w:val="99"/>
        </w:rPr>
        <w:t>亩以下、山地丘陵地区</w:t>
      </w:r>
      <w:r>
        <w:rPr>
          <w:w w:val="99"/>
        </w:rPr>
        <w:t>3亩以下永久基本农田碎图</w:t>
      </w:r>
      <w:r>
        <w:rPr>
          <w:spacing w:val="-10"/>
          <w:w w:val="99"/>
        </w:rPr>
        <w:t>斑个数，破解洛扎县耕地零星破碎难题。通过布局优化，推动耕</w:t>
      </w:r>
      <w:r>
        <w:rPr>
          <w:spacing w:val="-12"/>
          <w:w w:val="99"/>
        </w:rPr>
        <w:t>地规模化、集约化利用，实现永久基本农田布局与强边固防、生</w:t>
      </w:r>
      <w:r>
        <w:rPr>
          <w:spacing w:val="-2"/>
          <w:w w:val="99"/>
        </w:rPr>
        <w:t>态保护、农业发展需求精准适配。</w:t>
      </w:r>
    </w:p>
    <w:p>
      <w:pPr>
        <w:pStyle w:val="7"/>
        <w:numPr>
          <w:ilvl w:val="0"/>
          <w:numId w:val="1"/>
        </w:numPr>
        <w:tabs>
          <w:tab w:val="left" w:pos="1074"/>
        </w:tabs>
        <w:spacing w:before="0" w:after="0" w:line="400" w:lineRule="exact"/>
        <w:ind w:left="1073" w:right="0" w:hanging="325"/>
        <w:jc w:val="left"/>
      </w:pPr>
      <w:r>
        <w:rPr>
          <w:spacing w:val="-2"/>
          <w:w w:val="95"/>
        </w:rPr>
        <w:t>生态保护红线</w:t>
      </w:r>
    </w:p>
    <w:p>
      <w:pPr>
        <w:pStyle w:val="2"/>
        <w:spacing w:before="131"/>
        <w:ind w:left="747"/>
      </w:pPr>
      <w:r>
        <w:rPr>
          <w:w w:val="95"/>
        </w:rPr>
        <w:t>坚守生态保护优先底线，紧扣国家生态文明高地建设要求</w:t>
      </w:r>
      <w:r>
        <w:rPr>
          <w:spacing w:val="-10"/>
          <w:w w:val="95"/>
        </w:rPr>
        <w:t>，</w:t>
      </w:r>
    </w:p>
    <w:p>
      <w:pPr>
        <w:spacing w:after="0"/>
        <w:sectPr>
          <w:pgSz w:w="11910" w:h="16840"/>
          <w:pgMar w:top="1920" w:right="1040" w:bottom="1460" w:left="1480" w:header="0" w:footer="1274" w:gutter="0"/>
          <w:cols w:space="720" w:num="1"/>
        </w:sectPr>
      </w:pPr>
    </w:p>
    <w:p>
      <w:pPr>
        <w:pStyle w:val="2"/>
        <w:spacing w:before="4"/>
        <w:ind w:left="0"/>
        <w:rPr>
          <w:sz w:val="18"/>
        </w:rPr>
      </w:pPr>
    </w:p>
    <w:p>
      <w:pPr>
        <w:pStyle w:val="2"/>
        <w:spacing w:before="54" w:line="328" w:lineRule="auto"/>
        <w:ind w:right="274"/>
      </w:pPr>
      <w:r>
        <w:rPr>
          <w:spacing w:val="-8"/>
          <w:w w:val="99"/>
        </w:rPr>
        <w:t>以现有生态保护红线为基础，严格遵循“不减少、不降低、可优</w:t>
      </w:r>
      <w:r>
        <w:rPr>
          <w:spacing w:val="1"/>
          <w:w w:val="99"/>
        </w:rPr>
        <w:t>化”原则，重点守护洛扎县冰川和永久积雪、国家一级公益林、</w:t>
      </w:r>
      <w:r>
        <w:rPr>
          <w:spacing w:val="-9"/>
          <w:w w:val="99"/>
        </w:rPr>
        <w:t>生物多样性保护和水土保持、卡久自治区级风景名胜区等生态屏</w:t>
      </w:r>
      <w:r>
        <w:rPr>
          <w:spacing w:val="-10"/>
          <w:w w:val="99"/>
        </w:rPr>
        <w:t>障，确保生态功能核心区域不被侵占，筑牢国家生态安全屏障关</w:t>
      </w:r>
      <w:r>
        <w:rPr>
          <w:spacing w:val="-3"/>
          <w:w w:val="99"/>
        </w:rPr>
        <w:t>键节点。</w:t>
      </w:r>
    </w:p>
    <w:p>
      <w:pPr>
        <w:pStyle w:val="2"/>
        <w:spacing w:line="328" w:lineRule="auto"/>
        <w:ind w:right="274" w:firstLine="640"/>
      </w:pPr>
      <w:r>
        <w:rPr>
          <w:spacing w:val="-10"/>
          <w:w w:val="99"/>
        </w:rPr>
        <w:t>坚持科学精准优化，立足洛扎县生态系统特点，按照自治区</w:t>
      </w:r>
      <w:r>
        <w:rPr>
          <w:spacing w:val="-11"/>
          <w:w w:val="99"/>
        </w:rPr>
        <w:t>动态维护技术方案要求，充分衔接重要冰川</w:t>
      </w:r>
      <w:r>
        <w:rPr>
          <w:w w:val="99"/>
        </w:rPr>
        <w:t>I级缓冲3公里范围</w:t>
      </w:r>
      <w:r>
        <w:rPr>
          <w:spacing w:val="1"/>
          <w:w w:val="99"/>
        </w:rPr>
        <w:t>内重要生态功能区、重要冰川Ⅱ级、自然保护地优化调整成果，</w:t>
      </w:r>
      <w:r>
        <w:rPr>
          <w:spacing w:val="-9"/>
          <w:w w:val="99"/>
        </w:rPr>
        <w:t>通过合理论证分析后，对生态功能极重要、敏感脆弱区域应划尽</w:t>
      </w:r>
      <w:r>
        <w:rPr>
          <w:spacing w:val="-11"/>
          <w:w w:val="99"/>
        </w:rPr>
        <w:t>划，同时合理调整与耕地保护、城镇开发边界的重叠区域，兼顾</w:t>
      </w:r>
      <w:r>
        <w:rPr>
          <w:spacing w:val="-10"/>
          <w:w w:val="99"/>
        </w:rPr>
        <w:t>粮食安全与生态安全，实现“三条控制线”协同管控，避免过度</w:t>
      </w:r>
      <w:r>
        <w:rPr>
          <w:spacing w:val="-2"/>
          <w:w w:val="99"/>
        </w:rPr>
        <w:t>管控影响合理发展空间。</w:t>
      </w:r>
    </w:p>
    <w:p>
      <w:pPr>
        <w:pStyle w:val="2"/>
        <w:spacing w:line="328" w:lineRule="auto"/>
        <w:ind w:right="274" w:firstLine="640"/>
      </w:pPr>
      <w:r>
        <w:rPr>
          <w:spacing w:val="1"/>
          <w:w w:val="99"/>
        </w:rPr>
        <w:t>强化分区分类管控，结合各乡镇生态红线差异化分布特点，</w:t>
      </w:r>
      <w:r>
        <w:rPr>
          <w:spacing w:val="-11"/>
          <w:w w:val="99"/>
        </w:rPr>
        <w:t>针对拉郊乡、拉康镇等红线面积较大区域，重点强化生物多样性保护，兼顾文旅产业等绿色发展需求；对沿洛扎雄曲</w:t>
      </w:r>
      <w:r>
        <w:rPr>
          <w:rFonts w:hint="eastAsia"/>
          <w:spacing w:val="-11"/>
          <w:w w:val="99"/>
          <w:lang w:eastAsia="zh-CN"/>
        </w:rPr>
        <w:t>河周边</w:t>
      </w:r>
      <w:r>
        <w:rPr>
          <w:spacing w:val="-11"/>
          <w:w w:val="99"/>
        </w:rPr>
        <w:t>乡镇，聚</w:t>
      </w:r>
      <w:r>
        <w:rPr>
          <w:spacing w:val="-10"/>
          <w:w w:val="99"/>
        </w:rPr>
        <w:t>焦流域生态修复，优化红线管控边界，兼顾清洁能源等绿色发展</w:t>
      </w:r>
      <w:r>
        <w:rPr>
          <w:spacing w:val="-2"/>
          <w:w w:val="99"/>
        </w:rPr>
        <w:t>需求，实现生态保护与高质量发展双赢。</w:t>
      </w:r>
    </w:p>
    <w:p>
      <w:pPr>
        <w:pStyle w:val="7"/>
        <w:numPr>
          <w:ilvl w:val="0"/>
          <w:numId w:val="1"/>
        </w:numPr>
        <w:tabs>
          <w:tab w:val="left" w:pos="1074"/>
        </w:tabs>
        <w:spacing w:before="0" w:after="0" w:line="400" w:lineRule="exact"/>
        <w:ind w:left="1073" w:right="0" w:hanging="325"/>
        <w:jc w:val="left"/>
      </w:pPr>
      <w:r>
        <w:rPr>
          <w:spacing w:val="-2"/>
          <w:w w:val="95"/>
        </w:rPr>
        <w:t>城镇开发边界</w:t>
      </w:r>
    </w:p>
    <w:p>
      <w:pPr>
        <w:pStyle w:val="2"/>
        <w:spacing w:before="132" w:line="328" w:lineRule="auto"/>
        <w:ind w:right="274" w:firstLine="640"/>
      </w:pPr>
      <w:r>
        <w:rPr>
          <w:spacing w:val="1"/>
          <w:w w:val="99"/>
        </w:rPr>
        <w:t>落实总体规划规模传导。按照“总量不突破、布局更集聚、</w:t>
      </w:r>
      <w:r>
        <w:rPr>
          <w:spacing w:val="-8"/>
          <w:w w:val="99"/>
        </w:rPr>
        <w:t>城镇功能品质有提升”的原则，在不突破现行《总体规划》城镇开发边界规模总量和扩展倍数的前提下，衔接落实重大项目、评</w:t>
      </w:r>
      <w:r>
        <w:rPr>
          <w:spacing w:val="-11"/>
          <w:w w:val="99"/>
        </w:rPr>
        <w:t>估优化建议，按照城镇开发边界内新增城镇建设用地规模总量稳</w:t>
      </w:r>
    </w:p>
    <w:p>
      <w:pPr>
        <w:spacing w:after="0" w:line="328" w:lineRule="auto"/>
        <w:sectPr>
          <w:pgSz w:w="11910" w:h="16840"/>
          <w:pgMar w:top="1920" w:right="1040" w:bottom="1460" w:left="1480" w:header="0" w:footer="1274" w:gutter="0"/>
          <w:cols w:space="720" w:num="1"/>
        </w:sectPr>
      </w:pPr>
    </w:p>
    <w:p>
      <w:pPr>
        <w:pStyle w:val="2"/>
        <w:spacing w:before="4"/>
        <w:ind w:left="0"/>
        <w:rPr>
          <w:sz w:val="18"/>
        </w:rPr>
      </w:pPr>
    </w:p>
    <w:p>
      <w:pPr>
        <w:pStyle w:val="2"/>
        <w:spacing w:before="54"/>
      </w:pPr>
      <w:r>
        <w:rPr>
          <w:w w:val="95"/>
        </w:rPr>
        <w:t>定、等量进出的原则进行调出调入</w:t>
      </w:r>
      <w:r>
        <w:rPr>
          <w:spacing w:val="-10"/>
          <w:w w:val="95"/>
        </w:rPr>
        <w:t>。</w:t>
      </w:r>
    </w:p>
    <w:p>
      <w:pPr>
        <w:pStyle w:val="2"/>
        <w:spacing w:before="150" w:line="328" w:lineRule="auto"/>
        <w:ind w:right="112" w:firstLine="640"/>
      </w:pPr>
      <w:r>
        <w:rPr>
          <w:spacing w:val="-9"/>
          <w:w w:val="99"/>
        </w:rPr>
        <w:t>统筹做好保护与开发。严格按照耕地和永久基本农田、生态</w:t>
      </w:r>
      <w:r>
        <w:rPr>
          <w:spacing w:val="-11"/>
          <w:w w:val="99"/>
        </w:rPr>
        <w:t>保护红线、城镇开发边界的顺序开展城镇开发边界局部优化工作，</w:t>
      </w:r>
      <w:r>
        <w:rPr>
          <w:spacing w:val="-8"/>
          <w:w w:val="99"/>
        </w:rPr>
        <w:t xml:space="preserve">确保城镇开发边界与耕地和永久基本农田、生态保护红线不交叉 </w:t>
      </w:r>
      <w:r>
        <w:rPr>
          <w:spacing w:val="-11"/>
          <w:w w:val="99"/>
        </w:rPr>
        <w:t>不重叠不冲突。贯彻落实耕地保护的有关要求，优化后的城镇开</w:t>
      </w:r>
      <w:r>
        <w:rPr>
          <w:spacing w:val="-9"/>
          <w:w w:val="99"/>
        </w:rPr>
        <w:t>发边界应确保占用耕地的规模有所减少，尽量少占或不占优质耕 地。</w:t>
      </w:r>
    </w:p>
    <w:p>
      <w:pPr>
        <w:pStyle w:val="2"/>
        <w:spacing w:before="21"/>
        <w:ind w:left="747"/>
        <w:rPr>
          <w:rFonts w:ascii="楷体" w:eastAsia="楷体"/>
        </w:rPr>
      </w:pPr>
      <w:r>
        <w:rPr>
          <w:rFonts w:ascii="楷体" w:eastAsia="楷体"/>
          <w:w w:val="95"/>
        </w:rPr>
        <w:t>（二）规划分区</w:t>
      </w:r>
      <w:r>
        <w:rPr>
          <w:rFonts w:ascii="楷体" w:eastAsia="楷体"/>
          <w:spacing w:val="-5"/>
          <w:w w:val="95"/>
        </w:rPr>
        <w:t>维护</w:t>
      </w:r>
    </w:p>
    <w:p>
      <w:pPr>
        <w:pStyle w:val="2"/>
        <w:spacing w:before="158" w:line="328" w:lineRule="auto"/>
        <w:ind w:right="274" w:firstLine="640"/>
      </w:pPr>
      <w:r>
        <w:rPr>
          <w:spacing w:val="-10"/>
          <w:w w:val="99"/>
        </w:rPr>
        <w:t>严格落实自治区“严守生态保护红线、永久基本农田、城镇</w:t>
      </w:r>
      <w:r>
        <w:rPr>
          <w:spacing w:val="-12"/>
          <w:w w:val="99"/>
        </w:rPr>
        <w:t>开发边界”部署，规划农田保护区与永久基本农田一致，加大永</w:t>
      </w:r>
      <w:r>
        <w:rPr>
          <w:spacing w:val="-9"/>
          <w:w w:val="99"/>
        </w:rPr>
        <w:t>久基本农田特殊保护力度，推进高标准农田建设提质增效；规划</w:t>
      </w:r>
      <w:r>
        <w:rPr>
          <w:spacing w:val="1"/>
          <w:w w:val="99"/>
        </w:rPr>
        <w:t>生态保护区与生态保护红线一致，加大生态功能用地修复力度，</w:t>
      </w:r>
      <w:r>
        <w:rPr>
          <w:spacing w:val="-8"/>
          <w:w w:val="99"/>
        </w:rPr>
        <w:t>推进生态保护红线内违规用地整改；规划城镇发展区与城镇开发</w:t>
      </w:r>
      <w:r>
        <w:rPr>
          <w:spacing w:val="-10"/>
          <w:w w:val="99"/>
        </w:rPr>
        <w:t>边界一致，严防边界外新增建设用地无序蔓延，提升用地集约利</w:t>
      </w:r>
      <w:r>
        <w:rPr>
          <w:spacing w:val="-3"/>
          <w:w w:val="99"/>
        </w:rPr>
        <w:t>用水平。</w:t>
      </w:r>
    </w:p>
    <w:p>
      <w:pPr>
        <w:pStyle w:val="2"/>
        <w:spacing w:before="21"/>
        <w:ind w:left="747"/>
        <w:rPr>
          <w:rFonts w:ascii="楷体" w:eastAsia="楷体"/>
        </w:rPr>
      </w:pPr>
      <w:r>
        <w:rPr>
          <w:rFonts w:ascii="楷体" w:eastAsia="楷体"/>
          <w:w w:val="95"/>
        </w:rPr>
        <w:t>（三）中心城区用地规划布局</w:t>
      </w:r>
      <w:r>
        <w:rPr>
          <w:rFonts w:ascii="楷体" w:eastAsia="楷体"/>
          <w:spacing w:val="-5"/>
          <w:w w:val="95"/>
        </w:rPr>
        <w:t>维护</w:t>
      </w:r>
    </w:p>
    <w:p>
      <w:pPr>
        <w:pStyle w:val="2"/>
        <w:spacing w:before="157" w:line="328" w:lineRule="auto"/>
        <w:ind w:right="112" w:firstLine="640"/>
      </w:pPr>
      <w:r>
        <w:rPr>
          <w:spacing w:val="-10"/>
          <w:w w:val="99"/>
        </w:rPr>
        <w:t>在不涉及规划强制性内容、确保用地结构基本稳定的前提下，</w:t>
      </w:r>
      <w:r>
        <w:rPr>
          <w:spacing w:val="-11"/>
          <w:w w:val="99"/>
        </w:rPr>
        <w:t>对接中心城区详细规划，按照规划分区主导功能和管控要求进行</w:t>
      </w:r>
      <w:r>
        <w:rPr>
          <w:spacing w:val="1"/>
          <w:w w:val="99"/>
        </w:rPr>
        <w:t>优化。重点落实“十五五”重大建设项目及城市更新改造项目，</w:t>
      </w:r>
      <w:r>
        <w:rPr>
          <w:spacing w:val="-6"/>
          <w:w w:val="99"/>
        </w:rPr>
        <w:t xml:space="preserve">保障重点产业项目落地与公共服务设施建设需求，维护土地权属 </w:t>
      </w:r>
      <w:r>
        <w:rPr>
          <w:spacing w:val="-2"/>
          <w:w w:val="99"/>
        </w:rPr>
        <w:t>完整，推动土地集约节约利用。</w:t>
      </w:r>
    </w:p>
    <w:p>
      <w:pPr>
        <w:spacing w:after="0" w:line="328" w:lineRule="auto"/>
        <w:sectPr>
          <w:pgSz w:w="11910" w:h="16840"/>
          <w:pgMar w:top="1920" w:right="1040" w:bottom="1460" w:left="1480" w:header="0" w:footer="1274" w:gutter="0"/>
          <w:cols w:space="720" w:num="1"/>
        </w:sectPr>
      </w:pPr>
    </w:p>
    <w:p>
      <w:pPr>
        <w:pStyle w:val="2"/>
        <w:spacing w:before="10"/>
        <w:ind w:left="0"/>
        <w:rPr>
          <w:sz w:val="20"/>
        </w:rPr>
      </w:pPr>
    </w:p>
    <w:p>
      <w:pPr>
        <w:pStyle w:val="2"/>
        <w:spacing w:before="54"/>
        <w:ind w:left="747"/>
        <w:rPr>
          <w:rFonts w:ascii="楷体" w:eastAsia="楷体"/>
        </w:rPr>
      </w:pPr>
      <w:r>
        <w:rPr>
          <w:rFonts w:ascii="楷体" w:eastAsia="楷体"/>
          <w:w w:val="95"/>
        </w:rPr>
        <w:t>（四）城市重要控制线</w:t>
      </w:r>
      <w:r>
        <w:rPr>
          <w:rFonts w:ascii="楷体" w:eastAsia="楷体"/>
          <w:spacing w:val="-5"/>
          <w:w w:val="95"/>
        </w:rPr>
        <w:t>维护</w:t>
      </w:r>
    </w:p>
    <w:p>
      <w:pPr>
        <w:pStyle w:val="2"/>
        <w:spacing w:before="159" w:line="326" w:lineRule="auto"/>
        <w:ind w:right="433" w:firstLine="640"/>
        <w:jc w:val="both"/>
      </w:pPr>
      <w:r>
        <w:rPr>
          <w:spacing w:val="-6"/>
          <w:w w:val="99"/>
        </w:rPr>
        <w:t>在不突破国土空间总体规划强制性内容的前提下，对接中心</w:t>
      </w:r>
      <w:r>
        <w:rPr>
          <w:spacing w:val="-11"/>
          <w:w w:val="99"/>
        </w:rPr>
        <w:t>城区详细规划，结合中心城区用地布局调整，对城市绿线具体边</w:t>
      </w:r>
      <w:r>
        <w:rPr>
          <w:spacing w:val="-2"/>
          <w:w w:val="99"/>
        </w:rPr>
        <w:t>界进行优化。调整后控制线符合相关划定要求。</w:t>
      </w:r>
    </w:p>
    <w:p>
      <w:pPr>
        <w:pStyle w:val="2"/>
        <w:spacing w:before="38"/>
        <w:ind w:left="747"/>
        <w:rPr>
          <w:rFonts w:ascii="楷体" w:eastAsia="楷体"/>
        </w:rPr>
      </w:pPr>
      <w:r>
        <w:rPr>
          <w:rFonts w:ascii="楷体" w:eastAsia="楷体"/>
          <w:w w:val="95"/>
        </w:rPr>
        <w:t>（五）重点建设项目清单维</w:t>
      </w:r>
      <w:r>
        <w:rPr>
          <w:rFonts w:ascii="楷体" w:eastAsia="楷体"/>
          <w:spacing w:val="-10"/>
          <w:w w:val="95"/>
        </w:rPr>
        <w:t>护</w:t>
      </w:r>
    </w:p>
    <w:p>
      <w:pPr>
        <w:pStyle w:val="2"/>
        <w:spacing w:before="190" w:line="350" w:lineRule="auto"/>
        <w:ind w:right="274" w:firstLine="640"/>
      </w:pPr>
      <w:r>
        <w:rPr>
          <w:spacing w:val="-17"/>
          <w:w w:val="99"/>
        </w:rPr>
        <w:t>强化规划引</w:t>
      </w:r>
      <w:bookmarkStart w:id="0" w:name="_GoBack"/>
      <w:bookmarkEnd w:id="0"/>
      <w:r>
        <w:rPr>
          <w:spacing w:val="-17"/>
          <w:w w:val="99"/>
        </w:rPr>
        <w:t>领作用和项目前期工作，按照“项目跟着规划走、</w:t>
      </w:r>
      <w:r>
        <w:rPr>
          <w:spacing w:val="-12"/>
          <w:w w:val="99"/>
        </w:rPr>
        <w:t xml:space="preserve">要素跟着项目走”要求，重点建设项目清单动态维护，全面衔接 </w:t>
      </w:r>
      <w:r>
        <w:rPr>
          <w:spacing w:val="-10"/>
          <w:w w:val="99"/>
        </w:rPr>
        <w:t>“十五五”发展规划和各专项规划空间需求，强化要素保障。重</w:t>
      </w:r>
      <w:r>
        <w:rPr>
          <w:spacing w:val="-8"/>
          <w:w w:val="99"/>
        </w:rPr>
        <w:t>点聚焦近期可实现空间精准落位的项目，强化空间保障，规划动</w:t>
      </w:r>
      <w:r>
        <w:rPr>
          <w:spacing w:val="-2"/>
          <w:w w:val="99"/>
        </w:rPr>
        <w:t>态维护后重点建设项目清单共列</w:t>
      </w:r>
      <w:r>
        <w:rPr>
          <w:spacing w:val="1"/>
          <w:w w:val="99"/>
        </w:rPr>
        <w:t>33</w:t>
      </w:r>
      <w:r>
        <w:rPr>
          <w:spacing w:val="-2"/>
          <w:w w:val="99"/>
        </w:rPr>
        <w:t>3</w:t>
      </w:r>
      <w:r>
        <w:rPr>
          <w:w w:val="99"/>
        </w:rPr>
        <w:t>个。</w:t>
      </w:r>
    </w:p>
    <w:p>
      <w:pPr>
        <w:spacing w:after="0" w:line="350" w:lineRule="auto"/>
        <w:sectPr>
          <w:pgSz w:w="11910" w:h="16840"/>
          <w:pgMar w:top="1920" w:right="1040" w:bottom="1460" w:left="1480" w:header="0" w:footer="1274" w:gutter="0"/>
          <w:cols w:space="720" w:num="1"/>
        </w:sectPr>
      </w:pPr>
    </w:p>
    <w:p>
      <w:pPr>
        <w:pStyle w:val="2"/>
        <w:spacing w:before="10"/>
        <w:ind w:left="0"/>
        <w:rPr>
          <w:sz w:val="20"/>
        </w:rPr>
      </w:pPr>
    </w:p>
    <w:p>
      <w:pPr>
        <w:pStyle w:val="2"/>
        <w:spacing w:before="54"/>
        <w:ind w:left="747"/>
        <w:rPr>
          <w:rFonts w:ascii="黑体" w:eastAsia="黑体"/>
        </w:rPr>
      </w:pPr>
      <w:r>
        <w:rPr>
          <w:rFonts w:ascii="黑体" w:eastAsia="黑体"/>
          <w:w w:val="95"/>
        </w:rPr>
        <w:t>三、动态维护方案可行性分</w:t>
      </w:r>
      <w:r>
        <w:rPr>
          <w:rFonts w:ascii="黑体" w:eastAsia="黑体"/>
          <w:spacing w:val="-10"/>
          <w:w w:val="95"/>
        </w:rPr>
        <w:t>析</w:t>
      </w:r>
    </w:p>
    <w:p>
      <w:pPr>
        <w:pStyle w:val="2"/>
        <w:spacing w:before="159" w:line="328" w:lineRule="auto"/>
        <w:ind w:right="274" w:firstLine="640"/>
      </w:pPr>
      <w:r>
        <w:rPr>
          <w:spacing w:val="-5"/>
          <w:w w:val="99"/>
        </w:rPr>
        <w:t>本次国土空间总体规划动态维护严守空间安全底线，未突破</w:t>
      </w:r>
      <w:r>
        <w:rPr>
          <w:spacing w:val="-10"/>
          <w:w w:val="99"/>
        </w:rPr>
        <w:t>已批复的《总体规划》目标任务，未改变《总体规划》的空间结</w:t>
      </w:r>
      <w:r>
        <w:rPr>
          <w:spacing w:val="-17"/>
          <w:w w:val="99"/>
        </w:rPr>
        <w:t>构和格局，以正向优化为原则，高效消解规划实施中的空间冲突。</w:t>
      </w:r>
      <w:r>
        <w:rPr>
          <w:spacing w:val="-12"/>
          <w:w w:val="99"/>
        </w:rPr>
        <w:t>通过优化管控边界、统筹要素配置、精准服务供给、保障战略项目等路径，持续筑牢安全底线、提升资源配置效能、完善空间布</w:t>
      </w:r>
      <w:r>
        <w:rPr>
          <w:spacing w:val="-11"/>
          <w:w w:val="99"/>
        </w:rPr>
        <w:t>局、落实重大发展部署，全面增强国土空间规划的科学性、时效</w:t>
      </w:r>
      <w:r>
        <w:rPr>
          <w:spacing w:val="-2"/>
          <w:w w:val="99"/>
        </w:rPr>
        <w:t>性与前瞻性，为全县经济社会高质量发展夯实坚实空间支撑。</w:t>
      </w:r>
    </w:p>
    <w:p>
      <w:pPr>
        <w:pStyle w:val="2"/>
        <w:spacing w:line="397" w:lineRule="exact"/>
        <w:ind w:left="747"/>
      </w:pPr>
      <w:r>
        <w:rPr>
          <w:w w:val="95"/>
        </w:rPr>
        <w:t>（本方案所有数据以最终上报数据为准）</w:t>
      </w:r>
      <w:r>
        <w:rPr>
          <w:spacing w:val="-10"/>
          <w:w w:val="95"/>
        </w:rPr>
        <w:t>。</w:t>
      </w:r>
    </w:p>
    <w:sectPr>
      <w:pgSz w:w="11910" w:h="16840"/>
      <w:pgMar w:top="1920" w:right="1040" w:bottom="1460" w:left="1480" w:header="0" w:footer="127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86"/>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 w:name="黑体">
    <w:altName w:val="方正黑体_GBK"/>
    <w:panose1 w:val="00000000000000000000"/>
    <w:charset w:val="00"/>
    <w:family w:val="auto"/>
    <w:pitch w:val="default"/>
    <w:sig w:usb0="00000000" w:usb1="00000000" w:usb2="00000000" w:usb3="00000000" w:csb0="00000000" w:csb1="00000000"/>
  </w:font>
  <w:font w:name="楷体">
    <w:altName w:val="方正楷体_GBK"/>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w:pict>
        <v:shape id="4098" o:spid="_x0000_s2049" o:spt="202" type="#_x0000_t202" style="position:absolute;left:0pt;margin-left:284pt;margin-top:767.15pt;height:14pt;width:34.8pt;mso-position-horizontal-relative:page;mso-position-vertical-relative:page;z-index:-2147482624;mso-width-relative:page;mso-height-relative:page;" filled="f" stroked="f" coordsize="21600,21600">
          <v:path/>
          <v:fill on="f" focussize="0,0"/>
          <v:stroke on="f" joinstyle="miter"/>
          <v:imagedata o:title=""/>
          <o:lock v:ext="edit"/>
          <v:textbox inset="0mm,0mm,0mm,0mm">
            <w:txbxContent>
              <w:p>
                <w:pPr>
                  <w:spacing w:before="0" w:line="280" w:lineRule="exact"/>
                  <w:ind w:left="20" w:right="0" w:firstLine="0"/>
                  <w:jc w:val="left"/>
                  <w:rPr>
                    <w:rFonts w:ascii="宋体" w:hAnsi="宋体"/>
                    <w:sz w:val="18"/>
                  </w:rPr>
                </w:pPr>
                <w:r>
                  <w:rPr>
                    <w:rFonts w:ascii="宋体" w:hAnsi="宋体"/>
                    <w:sz w:val="18"/>
                  </w:rPr>
                  <w:t>—</w:t>
                </w:r>
                <w:r>
                  <w:rPr>
                    <w:rFonts w:ascii="宋体" w:hAnsi="宋体"/>
                    <w:spacing w:val="-5"/>
                    <w:sz w:val="24"/>
                  </w:rPr>
                  <w:fldChar w:fldCharType="begin"/>
                </w:r>
                <w:r>
                  <w:rPr>
                    <w:rFonts w:ascii="宋体" w:hAnsi="宋体"/>
                    <w:spacing w:val="-5"/>
                    <w:sz w:val="24"/>
                  </w:rPr>
                  <w:instrText xml:space="preserve">PAGE </w:instrText>
                </w:r>
                <w:r>
                  <w:rPr>
                    <w:rFonts w:ascii="宋体" w:hAnsi="宋体"/>
                    <w:spacing w:val="-5"/>
                    <w:sz w:val="24"/>
                  </w:rPr>
                  <w:fldChar w:fldCharType="separate"/>
                </w:r>
                <w:r>
                  <w:rPr>
                    <w:rFonts w:ascii="宋体" w:hAnsi="宋体"/>
                    <w:spacing w:val="-5"/>
                    <w:sz w:val="24"/>
                  </w:rPr>
                  <w:t>1</w:t>
                </w:r>
                <w:r>
                  <w:rPr>
                    <w:rFonts w:ascii="宋体" w:hAnsi="宋体"/>
                    <w:spacing w:val="-5"/>
                    <w:sz w:val="24"/>
                  </w:rPr>
                  <w:fldChar w:fldCharType="end"/>
                </w:r>
                <w:r>
                  <w:rPr>
                    <w:rFonts w:ascii="宋体" w:hAnsi="宋体"/>
                    <w:spacing w:val="-5"/>
                    <w:sz w:val="18"/>
                  </w:rPr>
                  <w:t>—</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ind w:left="1073" w:hanging="324"/>
        <w:jc w:val="left"/>
      </w:pPr>
      <w:rPr>
        <w:rFonts w:hint="default" w:ascii="仿宋" w:hAnsi="仿宋" w:eastAsia="仿宋" w:cs="仿宋"/>
        <w:b/>
        <w:bCs/>
        <w:i w:val="0"/>
        <w:iCs w:val="0"/>
        <w:spacing w:val="-2"/>
        <w:w w:val="98"/>
        <w:sz w:val="30"/>
        <w:szCs w:val="30"/>
        <w:lang w:val="en-US" w:eastAsia="zh-CN" w:bidi="ar-SA"/>
      </w:rPr>
    </w:lvl>
    <w:lvl w:ilvl="1" w:tentative="0">
      <w:start w:val="0"/>
      <w:numFmt w:val="bullet"/>
      <w:lvlText w:val="•"/>
      <w:lvlJc w:val="left"/>
      <w:pPr>
        <w:ind w:left="1910" w:hanging="324"/>
      </w:pPr>
      <w:rPr>
        <w:rFonts w:hint="default"/>
        <w:lang w:val="en-US" w:eastAsia="zh-CN" w:bidi="ar-SA"/>
      </w:rPr>
    </w:lvl>
    <w:lvl w:ilvl="2" w:tentative="0">
      <w:start w:val="0"/>
      <w:numFmt w:val="bullet"/>
      <w:lvlText w:val="•"/>
      <w:lvlJc w:val="left"/>
      <w:pPr>
        <w:ind w:left="2741" w:hanging="324"/>
      </w:pPr>
      <w:rPr>
        <w:rFonts w:hint="default"/>
        <w:lang w:val="en-US" w:eastAsia="zh-CN" w:bidi="ar-SA"/>
      </w:rPr>
    </w:lvl>
    <w:lvl w:ilvl="3" w:tentative="0">
      <w:start w:val="0"/>
      <w:numFmt w:val="bullet"/>
      <w:lvlText w:val="•"/>
      <w:lvlJc w:val="left"/>
      <w:pPr>
        <w:ind w:left="3571" w:hanging="324"/>
      </w:pPr>
      <w:rPr>
        <w:rFonts w:hint="default"/>
        <w:lang w:val="en-US" w:eastAsia="zh-CN" w:bidi="ar-SA"/>
      </w:rPr>
    </w:lvl>
    <w:lvl w:ilvl="4" w:tentative="0">
      <w:start w:val="0"/>
      <w:numFmt w:val="bullet"/>
      <w:lvlText w:val="•"/>
      <w:lvlJc w:val="left"/>
      <w:pPr>
        <w:ind w:left="4402" w:hanging="324"/>
      </w:pPr>
      <w:rPr>
        <w:rFonts w:hint="default"/>
        <w:lang w:val="en-US" w:eastAsia="zh-CN" w:bidi="ar-SA"/>
      </w:rPr>
    </w:lvl>
    <w:lvl w:ilvl="5" w:tentative="0">
      <w:start w:val="0"/>
      <w:numFmt w:val="bullet"/>
      <w:lvlText w:val="•"/>
      <w:lvlJc w:val="left"/>
      <w:pPr>
        <w:ind w:left="5233" w:hanging="324"/>
      </w:pPr>
      <w:rPr>
        <w:rFonts w:hint="default"/>
        <w:lang w:val="en-US" w:eastAsia="zh-CN" w:bidi="ar-SA"/>
      </w:rPr>
    </w:lvl>
    <w:lvl w:ilvl="6" w:tentative="0">
      <w:start w:val="0"/>
      <w:numFmt w:val="bullet"/>
      <w:lvlText w:val="•"/>
      <w:lvlJc w:val="left"/>
      <w:pPr>
        <w:ind w:left="6063" w:hanging="324"/>
      </w:pPr>
      <w:rPr>
        <w:rFonts w:hint="default"/>
        <w:lang w:val="en-US" w:eastAsia="zh-CN" w:bidi="ar-SA"/>
      </w:rPr>
    </w:lvl>
    <w:lvl w:ilvl="7" w:tentative="0">
      <w:start w:val="0"/>
      <w:numFmt w:val="bullet"/>
      <w:lvlText w:val="•"/>
      <w:lvlJc w:val="left"/>
      <w:pPr>
        <w:ind w:left="6894" w:hanging="324"/>
      </w:pPr>
      <w:rPr>
        <w:rFonts w:hint="default"/>
        <w:lang w:val="en-US" w:eastAsia="zh-CN" w:bidi="ar-SA"/>
      </w:rPr>
    </w:lvl>
    <w:lvl w:ilvl="8" w:tentative="0">
      <w:start w:val="0"/>
      <w:numFmt w:val="bullet"/>
      <w:lvlText w:val="•"/>
      <w:lvlJc w:val="left"/>
      <w:pPr>
        <w:ind w:left="7724" w:hanging="324"/>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7D7C55E0"/>
    <w:rsid w:val="7FF957BE"/>
    <w:rsid w:val="FF965C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宋体"/>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zh-CN" w:bidi="ar-SA"/>
    </w:rPr>
  </w:style>
  <w:style w:type="character" w:default="1" w:styleId="5">
    <w:name w:val="Default Paragraph Font"/>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06"/>
    </w:pPr>
    <w:rPr>
      <w:rFonts w:ascii="仿宋" w:hAnsi="仿宋" w:eastAsia="仿宋" w:cs="仿宋"/>
      <w:sz w:val="32"/>
      <w:szCs w:val="32"/>
      <w:lang w:val="en-US" w:eastAsia="zh-CN" w:bidi="ar-SA"/>
    </w:rPr>
  </w:style>
  <w:style w:type="paragraph" w:styleId="3">
    <w:name w:val="Title"/>
    <w:basedOn w:val="1"/>
    <w:qFormat/>
    <w:uiPriority w:val="1"/>
    <w:pPr>
      <w:spacing w:line="882" w:lineRule="exact"/>
      <w:ind w:right="324"/>
      <w:jc w:val="center"/>
    </w:pPr>
    <w:rPr>
      <w:rFonts w:ascii="微软雅黑" w:hAnsi="微软雅黑" w:eastAsia="微软雅黑" w:cs="微软雅黑"/>
      <w:sz w:val="52"/>
      <w:szCs w:val="52"/>
      <w:lang w:val="en-US" w:eastAsia="zh-CN" w:bidi="ar-SA"/>
    </w:rPr>
  </w:style>
  <w:style w:type="table" w:customStyle="1" w:styleId="6">
    <w:name w:val="Table Normal"/>
    <w:qFormat/>
    <w:uiPriority w:val="2"/>
    <w:tblPr>
      <w:tblCellMar>
        <w:top w:w="0" w:type="dxa"/>
        <w:left w:w="0" w:type="dxa"/>
        <w:bottom w:w="0" w:type="dxa"/>
        <w:right w:w="0" w:type="dxa"/>
      </w:tblCellMar>
    </w:tblPr>
  </w:style>
  <w:style w:type="paragraph" w:customStyle="1" w:styleId="7">
    <w:name w:val="Heading 1"/>
    <w:basedOn w:val="1"/>
    <w:qFormat/>
    <w:uiPriority w:val="1"/>
    <w:pPr>
      <w:spacing w:line="400" w:lineRule="exact"/>
      <w:ind w:left="1073" w:hanging="325"/>
      <w:outlineLvl w:val="1"/>
    </w:pPr>
    <w:rPr>
      <w:rFonts w:ascii="仿宋" w:hAnsi="仿宋" w:eastAsia="仿宋" w:cs="仿宋"/>
      <w:b/>
      <w:bCs/>
      <w:sz w:val="32"/>
      <w:szCs w:val="32"/>
      <w:lang w:val="en-US" w:eastAsia="zh-CN" w:bidi="ar-SA"/>
    </w:rPr>
  </w:style>
  <w:style w:type="paragraph" w:styleId="8">
    <w:name w:val="List Paragraph"/>
    <w:basedOn w:val="1"/>
    <w:qFormat/>
    <w:uiPriority w:val="1"/>
    <w:pPr>
      <w:spacing w:line="400" w:lineRule="exact"/>
      <w:ind w:left="1073" w:hanging="325"/>
    </w:pPr>
    <w:rPr>
      <w:rFonts w:ascii="仿宋" w:hAnsi="仿宋" w:eastAsia="仿宋" w:cs="仿宋"/>
      <w:lang w:val="en-US" w:eastAsia="zh-CN" w:bidi="ar-SA"/>
    </w:rPr>
  </w:style>
  <w:style w:type="paragraph" w:customStyle="1" w:styleId="9">
    <w:name w:val="Table Paragraph"/>
    <w:basedOn w:val="1"/>
    <w:qFormat/>
    <w:uiPriority w:val="1"/>
    <w:rPr>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Words>2898</Words>
  <Characters>2963</Characters>
  <Paragraphs>86</Paragraphs>
  <TotalTime>6</TotalTime>
  <ScaleCrop>false</ScaleCrop>
  <LinksUpToDate>false</LinksUpToDate>
  <CharactersWithSpaces>2973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2026-07-09T17:54:00Z</dcterms:created>
  <dc:creator>WPS Office</dc:creator>
  <cp:lastModifiedBy>妮妮</cp:lastModifiedBy>
  <dcterms:modified xsi:type="dcterms:W3CDTF">2026-07-09T18:03:53Z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https://xpdf.cn</vt:lpwstr>
  </property>
  <property fmtid="{D5CDD505-2E9C-101B-9397-08002B2CF9AE}" pid="3" name="Producer">
    <vt:lpwstr>Xpdf - https://xpdf.cn</vt:lpwstr>
  </property>
  <property fmtid="{D5CDD505-2E9C-101B-9397-08002B2CF9AE}" pid="4" name="ICV">
    <vt:lpwstr>8e9a437f88cd4f27861a48521f4e973f_23</vt:lpwstr>
  </property>
  <property fmtid="{D5CDD505-2E9C-101B-9397-08002B2CF9AE}" pid="5" name="KSOProductBuildVer">
    <vt:lpwstr>2052-11.8.2.9831</vt:lpwstr>
  </property>
</Properties>
</file>