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洛扎县司法局2026年部门预算</w:t>
      </w:r>
    </w:p>
    <w:p>
      <w:pPr>
        <w:keepNext w:val="0"/>
        <w:keepLines w:val="0"/>
        <w:pageBreakBefore w:val="0"/>
        <w:kinsoku/>
        <w:wordWrap/>
        <w:overflowPunct/>
        <w:topLinePunct w:val="0"/>
        <w:bidi w:val="0"/>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spacing w:line="576"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洛扎县司法局概况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一、主要职责</w:t>
      </w:r>
      <w:bookmarkStart w:id="0" w:name="_GoBack"/>
      <w:bookmarkEnd w:id="0"/>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二、部门机构设置</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三、部门预算构成</w:t>
      </w:r>
    </w:p>
    <w:p>
      <w:pPr>
        <w:keepNext w:val="0"/>
        <w:keepLines w:val="0"/>
        <w:pageBreakBefore w:val="0"/>
        <w:kinsoku/>
        <w:wordWrap/>
        <w:overflowPunct/>
        <w:topLinePunct w:val="0"/>
        <w:bidi w:val="0"/>
        <w:snapToGrid/>
        <w:spacing w:line="576"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第二部分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2026年部门预算表</w:t>
      </w:r>
    </w:p>
    <w:p>
      <w:pPr>
        <w:keepNext w:val="0"/>
        <w:keepLines w:val="0"/>
        <w:pageBreakBefore w:val="0"/>
        <w:kinsoku/>
        <w:wordWrap/>
        <w:overflowPunct/>
        <w:topLinePunct w:val="0"/>
        <w:bidi w:val="0"/>
        <w:snapToGrid/>
        <w:spacing w:line="576"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第三部分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2026年部门预算情况说明</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一、部门预算收支增减变化情况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二、“三公”经费安排情况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三、机关运行经费安排情况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四、政府采购情况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五、国有资产占有使用情况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六、项目绩效目标情况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七、其他需要说明的情况</w:t>
      </w:r>
    </w:p>
    <w:p>
      <w:pPr>
        <w:keepNext w:val="0"/>
        <w:keepLines w:val="0"/>
        <w:pageBreakBefore w:val="0"/>
        <w:kinsoku/>
        <w:wordWrap/>
        <w:overflowPunct/>
        <w:topLinePunct w:val="0"/>
        <w:bidi w:val="0"/>
        <w:snapToGrid/>
        <w:spacing w:line="576"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第四部分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名词解释</w:t>
      </w:r>
    </w:p>
    <w:p>
      <w:pPr>
        <w:keepNext w:val="0"/>
        <w:keepLines w:val="0"/>
        <w:pageBreakBefore w:val="0"/>
        <w:kinsoku/>
        <w:wordWrap/>
        <w:overflowPunct/>
        <w:topLinePunct w:val="0"/>
        <w:bidi w:val="0"/>
        <w:snapToGrid/>
        <w:spacing w:line="576" w:lineRule="exact"/>
        <w:ind w:firstLine="643" w:firstLineChars="200"/>
        <w:jc w:val="left"/>
        <w:textAlignment w:val="auto"/>
        <w:rPr>
          <w:rFonts w:ascii="方正小标宋简体" w:hAnsi="仿宋" w:eastAsia="方正小标宋简体"/>
          <w:b/>
          <w:sz w:val="32"/>
          <w:szCs w:val="32"/>
        </w:rPr>
      </w:pPr>
    </w:p>
    <w:p>
      <w:pPr>
        <w:keepNext w:val="0"/>
        <w:keepLines w:val="0"/>
        <w:pageBreakBefore w:val="0"/>
        <w:kinsoku/>
        <w:wordWrap/>
        <w:overflowPunct/>
        <w:topLinePunct w:val="0"/>
        <w:bidi w:val="0"/>
        <w:snapToGrid/>
        <w:spacing w:line="576" w:lineRule="exact"/>
        <w:ind w:firstLine="643" w:firstLineChars="200"/>
        <w:jc w:val="left"/>
        <w:textAlignment w:val="auto"/>
        <w:rPr>
          <w:rFonts w:ascii="方正小标宋简体" w:hAnsi="仿宋" w:eastAsia="方正小标宋简体"/>
          <w:b/>
          <w:sz w:val="32"/>
          <w:szCs w:val="32"/>
        </w:rPr>
      </w:pPr>
    </w:p>
    <w:p>
      <w:pPr>
        <w:keepNext w:val="0"/>
        <w:keepLines w:val="0"/>
        <w:pageBreakBefore w:val="0"/>
        <w:kinsoku/>
        <w:wordWrap/>
        <w:overflowPunct/>
        <w:topLinePunct w:val="0"/>
        <w:bidi w:val="0"/>
        <w:snapToGrid/>
        <w:spacing w:line="576" w:lineRule="exact"/>
        <w:ind w:firstLine="643" w:firstLineChars="200"/>
        <w:jc w:val="left"/>
        <w:textAlignment w:val="auto"/>
        <w:rPr>
          <w:rFonts w:ascii="方正小标宋简体" w:hAnsi="仿宋" w:eastAsia="方正小标宋简体"/>
          <w:b/>
          <w:sz w:val="32"/>
          <w:szCs w:val="32"/>
        </w:rPr>
      </w:pPr>
    </w:p>
    <w:p>
      <w:pPr>
        <w:keepNext w:val="0"/>
        <w:keepLines w:val="0"/>
        <w:pageBreakBefore w:val="0"/>
        <w:kinsoku/>
        <w:wordWrap/>
        <w:overflowPunct/>
        <w:topLinePunct w:val="0"/>
        <w:bidi w:val="0"/>
        <w:snapToGrid/>
        <w:spacing w:line="576" w:lineRule="exact"/>
        <w:ind w:firstLine="643" w:firstLineChars="200"/>
        <w:jc w:val="left"/>
        <w:textAlignment w:val="auto"/>
        <w:rPr>
          <w:rFonts w:ascii="方正小标宋简体" w:hAnsi="仿宋" w:eastAsia="方正小标宋简体"/>
          <w:b/>
          <w:sz w:val="32"/>
          <w:szCs w:val="32"/>
        </w:rPr>
      </w:pPr>
    </w:p>
    <w:p>
      <w:pPr>
        <w:keepNext w:val="0"/>
        <w:keepLines w:val="0"/>
        <w:pageBreakBefore w:val="0"/>
        <w:kinsoku/>
        <w:wordWrap/>
        <w:overflowPunct/>
        <w:topLinePunct w:val="0"/>
        <w:bidi w:val="0"/>
        <w:snapToGrid/>
        <w:spacing w:line="576" w:lineRule="exact"/>
        <w:ind w:firstLine="643" w:firstLineChars="200"/>
        <w:jc w:val="left"/>
        <w:textAlignment w:val="auto"/>
        <w:rPr>
          <w:rFonts w:ascii="方正小标宋简体" w:hAnsi="仿宋" w:eastAsia="方正小标宋简体"/>
          <w:b/>
          <w:sz w:val="32"/>
          <w:szCs w:val="32"/>
        </w:rPr>
      </w:pPr>
    </w:p>
    <w:p>
      <w:pPr>
        <w:keepNext w:val="0"/>
        <w:keepLines w:val="0"/>
        <w:pageBreakBefore w:val="0"/>
        <w:kinsoku/>
        <w:wordWrap/>
        <w:overflowPunct/>
        <w:topLinePunct w:val="0"/>
        <w:bidi w:val="0"/>
        <w:snapToGrid/>
        <w:spacing w:line="576" w:lineRule="exact"/>
        <w:jc w:val="center"/>
        <w:textAlignment w:val="auto"/>
        <w:rPr>
          <w:rFonts w:hint="eastAsia" w:ascii="方正小标宋简体" w:hAnsi="方正小标宋简体" w:eastAsia="方正小标宋简体" w:cs="方正小标宋简体"/>
          <w:sz w:val="44"/>
          <w:szCs w:val="44"/>
          <w:lang w:eastAsia="zh-CN"/>
        </w:rPr>
        <w:sectPr>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kinsoku/>
        <w:wordWrap/>
        <w:overflowPunct/>
        <w:topLinePunct w:val="0"/>
        <w:bidi w:val="0"/>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第一部分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洛扎县司法局概况</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洛扎县司法局是县人民政府工作部门，为科级。县司法局的主要职责：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担全面依法治县重要问题研究，贯彻执行有关依法治国、依法治藏的方针政策和法律法规，贯彻落实依法行政和法治政府建设相关规定要求，协调有关方面提出全面依法治县中长期规划建议，共同落实依法治国、依法治藏、依法治市、依法治县和法治政府建设有关重大决策部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贯彻执行党和国家有关司法行政工作的方针政策和法律法规，落实自治区、山南市关于司法行政工作的政策法规，协调有关方面提出立法规划和年度立法工作计划的建议。负责跟踪了解各部门对立法工作计划的落实情况，加强组织协调和督促指导，研究提出立法与改革措施相衔接的意见。负责协助上级面向社会征集地方性法规、政府规章制定项目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（三）依法对县政府重大行政决策方案、草案进行合法性审查，为县政府重要决策提供法律意见；对</w:t>
      </w:r>
      <w:r>
        <w:rPr>
          <w:rFonts w:hint="default" w:ascii="仿宋_GB2312" w:hAnsi="仿宋_GB2312" w:eastAsia="仿宋_GB2312" w:cs="仿宋_GB2312"/>
          <w:sz w:val="32"/>
          <w:szCs w:val="32"/>
          <w:lang w:val="en"/>
        </w:rPr>
        <w:t>法律法规</w:t>
      </w:r>
      <w:r>
        <w:rPr>
          <w:rFonts w:hint="eastAsia" w:ascii="仿宋_GB2312" w:hAnsi="仿宋_GB2312" w:eastAsia="仿宋_GB2312" w:cs="仿宋_GB2312"/>
          <w:sz w:val="32"/>
          <w:szCs w:val="32"/>
        </w:rPr>
        <w:t>、规章实施和行政执法中带有普遍性的问题提出完善制度和解决问题的意见建议；协调部门之间在实施</w:t>
      </w:r>
      <w:r>
        <w:rPr>
          <w:rFonts w:hint="default" w:ascii="仿宋_GB2312" w:hAnsi="仿宋_GB2312" w:eastAsia="仿宋_GB2312" w:cs="仿宋_GB2312"/>
          <w:sz w:val="32"/>
          <w:szCs w:val="32"/>
          <w:lang w:val="en"/>
        </w:rPr>
        <w:t>法律法规</w:t>
      </w:r>
      <w:r>
        <w:rPr>
          <w:rFonts w:hint="eastAsia" w:ascii="仿宋_GB2312" w:hAnsi="仿宋_GB2312" w:eastAsia="仿宋_GB2312" w:cs="仿宋_GB2312"/>
          <w:sz w:val="32"/>
          <w:szCs w:val="32"/>
        </w:rPr>
        <w:t>、规章过程中产生的争议和相关问题。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贯彻执行社区矫正法律法规、政策实施。拟订全县社区矫正工作发展规划、管理制度和相关规定并组织实施。协调落实全县社区矫正对象的刑罚执行、依法监管、教育矫正和社会适应性帮扶工作。指导开展社区矫正社会工作和志愿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导和监督行政执法工作，组织、指导行政执法制度的建立，完善和实施。审核、确认行政执法主体资格，指导、推进行政执法责任制和行政执法队伍建设。负责指导和组织重大行政处罚决定的审核和重大行政处罚的听证工作。研究完善规范性文件备案审查工作机制。承办各乡镇、各部门制定的规范性文件的备案审查。组织和指导政府规范性文件的清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（六）负责协调各乡镇、各部门实施地方性法规和政府规章中的有关争议和问题。负责组织开展政府规章的清理、备案审查工作。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（七）承担统筹推进法治政府建设的责任。承办由县政府受理的行政复议案件和行政应诉事项；指导、监督全县行政复议、行政应诉工作；承担县政府的行政复议、行政应诉等法律服务工作。组织开展</w:t>
      </w:r>
      <w:r>
        <w:rPr>
          <w:rFonts w:hint="default" w:ascii="仿宋_GB2312" w:hAnsi="仿宋_GB2312" w:eastAsia="仿宋_GB2312" w:cs="仿宋_GB2312"/>
          <w:sz w:val="32"/>
          <w:szCs w:val="32"/>
          <w:lang w:val="en"/>
        </w:rPr>
        <w:t>法律法规</w:t>
      </w:r>
      <w:r>
        <w:rPr>
          <w:rFonts w:hint="eastAsia" w:ascii="仿宋_GB2312" w:hAnsi="仿宋_GB2312" w:eastAsia="仿宋_GB2312" w:cs="仿宋_GB2312"/>
          <w:sz w:val="32"/>
          <w:szCs w:val="32"/>
        </w:rPr>
        <w:t>、规章实施情况的检查和评估工作；负责县政府法律顾问的选聘及联系工作；指导协调监督法律顾问工作。负责综合协调行政执法，承担推进行政执法改革有关工作，推进严格规范公正文明执法。协助县政府领导办理涉法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承担统筹规划全县法治社会建设的责任。负责对全县行政机关领导干部及工作人员进行依法行政法律知识培训。拟订全县普及法律常识、法治宣传教育规划并组织实施，督导检查全县普法宣传工作。协调推动加强民族团结、维护祖国统一等方面法律法规宣传。推动人民参与和促进全县法治建设。指导依法治理和法治建设工作。推进司法所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负责指导监督全县基层司法行政机构建设工作，参与社会治安综合治理，指导和监督人民调解、社区矫正、基层法律服务、安置帮教工作。协调落实刑满释放人员的安置帮教工作。指导调解工作和人民陪审员选任管理工作，负责全县人民监督员选任、培训、考核等管理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（十）负责</w:t>
      </w:r>
      <w:r>
        <w:rPr>
          <w:rFonts w:hint="eastAsia" w:ascii="仿宋_GB2312" w:hAnsi="仿宋_GB2312" w:eastAsia="仿宋_GB2312" w:cs="仿宋_GB2312"/>
          <w:sz w:val="32"/>
          <w:szCs w:val="32"/>
          <w:lang w:eastAsia="zh-CN"/>
        </w:rPr>
        <w:t>拟定</w:t>
      </w:r>
      <w:r>
        <w:rPr>
          <w:rFonts w:hint="eastAsia" w:ascii="仿宋_GB2312" w:hAnsi="仿宋_GB2312" w:eastAsia="仿宋_GB2312" w:cs="仿宋_GB2312"/>
          <w:sz w:val="32"/>
          <w:szCs w:val="32"/>
        </w:rPr>
        <w:t>全县公共法律服务体系建设规划并指导实施，统筹和布局城乡、区域法律服务资源。指导、监督律师、法律援助、司法鉴定、公证、仲裁和基层等法律服务管理工作。会同有关部门负责全县公共法律服务方面相关资料的藏文翻译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综合管理社会法律服务机构，指导和管理企业、事业单位法律顾问工作。指导管理律师行业党建工作，负责全县行政执法机关和行政执法人员主体资格的审查和认定发证工作。负责全县律师、公证员资格审核、申报工作。负责协调组织全县法律执业人员入职前培训协调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（十二）负责全县司法行政系统警车、信息化建设等管理工作。指导、监督全县司法行政系统财务、装备、设施、场所、信息科技等保障工作。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（十三）规划、协调、指导全县法治人才队伍建设相关工作，指导和监督全县司法行政队伍建设和思想作风、工作作风建设。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（十四）负责本行业领域安全生产监管和应急处置工作。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（十五）完成县委、县人民政府交办的其他任务。</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二、部门（单位）机构设置情况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县司法局不设内设机构。</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三、部门预算构成</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ascii="仿宋" w:hAnsi="仿宋" w:eastAsia="仿宋"/>
          <w:sz w:val="32"/>
          <w:szCs w:val="32"/>
        </w:rPr>
        <w:t>本单位无下属单位</w:t>
      </w:r>
      <w:r>
        <w:rPr>
          <w:rFonts w:hint="eastAsia" w:ascii="仿宋" w:hAnsi="仿宋" w:eastAsia="仿宋"/>
          <w:sz w:val="32"/>
          <w:szCs w:val="32"/>
        </w:rPr>
        <w:t>，</w:t>
      </w:r>
      <w:r>
        <w:rPr>
          <w:rFonts w:ascii="仿宋" w:hAnsi="仿宋" w:eastAsia="仿宋"/>
          <w:sz w:val="32"/>
          <w:szCs w:val="32"/>
        </w:rPr>
        <w:t>部门预算为</w:t>
      </w:r>
      <w:r>
        <w:rPr>
          <w:rFonts w:hint="eastAsia" w:ascii="仿宋" w:hAnsi="仿宋" w:eastAsia="仿宋"/>
          <w:sz w:val="32"/>
          <w:szCs w:val="32"/>
        </w:rPr>
        <w:t>一级部门预算。</w:t>
      </w:r>
    </w:p>
    <w:p>
      <w:pPr>
        <w:keepNext w:val="0"/>
        <w:keepLines w:val="0"/>
        <w:pageBreakBefore w:val="0"/>
        <w:kinsoku/>
        <w:wordWrap/>
        <w:overflowPunct/>
        <w:topLinePunct w:val="0"/>
        <w:bidi w:val="0"/>
        <w:snapToGrid/>
        <w:spacing w:line="576" w:lineRule="exact"/>
        <w:ind w:firstLine="800" w:firstLineChars="200"/>
        <w:jc w:val="center"/>
        <w:textAlignment w:val="auto"/>
        <w:rPr>
          <w:rFonts w:ascii="方正小标宋简体" w:hAnsi="仿宋" w:eastAsia="方正小标宋简体"/>
          <w:sz w:val="40"/>
          <w:szCs w:val="32"/>
        </w:rPr>
      </w:pPr>
    </w:p>
    <w:p>
      <w:pPr>
        <w:keepNext w:val="0"/>
        <w:keepLines w:val="0"/>
        <w:pageBreakBefore w:val="0"/>
        <w:kinsoku/>
        <w:wordWrap/>
        <w:overflowPunct/>
        <w:topLinePunct w:val="0"/>
        <w:bidi w:val="0"/>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2026年部门预算表</w:t>
      </w:r>
    </w:p>
    <w:p>
      <w:pPr>
        <w:keepNext w:val="0"/>
        <w:keepLines w:val="0"/>
        <w:pageBreakBefore w:val="0"/>
        <w:kinsoku/>
        <w:wordWrap/>
        <w:overflowPunct/>
        <w:topLinePunct w:val="0"/>
        <w:bidi w:val="0"/>
        <w:snapToGrid/>
        <w:spacing w:line="576" w:lineRule="exact"/>
        <w:jc w:val="center"/>
        <w:textAlignment w:val="auto"/>
        <w:rPr>
          <w:rFonts w:ascii="方正小标宋简体" w:hAnsi="仿宋" w:eastAsia="方正小标宋简体"/>
          <w:sz w:val="40"/>
          <w:szCs w:val="32"/>
        </w:rPr>
      </w:pP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表格详见附件。</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line="576" w:lineRule="exact"/>
        <w:jc w:val="center"/>
        <w:textAlignment w:val="auto"/>
        <w:rPr>
          <w:rFonts w:ascii="黑体" w:hAnsi="黑体" w:eastAsia="黑体"/>
          <w:sz w:val="40"/>
          <w:szCs w:val="40"/>
        </w:rPr>
      </w:pPr>
      <w:r>
        <w:rPr>
          <w:rFonts w:hint="eastAsia" w:ascii="方正小标宋简体" w:hAnsi="方正小标宋简体" w:eastAsia="方正小标宋简体" w:cs="方正小标宋简体"/>
          <w:sz w:val="44"/>
          <w:szCs w:val="44"/>
        </w:rPr>
        <w:t>第三部分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2026年部门预算情况说明</w:t>
      </w:r>
    </w:p>
    <w:p>
      <w:pPr>
        <w:keepNext w:val="0"/>
        <w:keepLines w:val="0"/>
        <w:pageBreakBefore w:val="0"/>
        <w:kinsoku/>
        <w:wordWrap/>
        <w:overflowPunct/>
        <w:topLinePunct w:val="0"/>
        <w:bidi w:val="0"/>
        <w:snapToGrid/>
        <w:spacing w:line="576" w:lineRule="exact"/>
        <w:ind w:firstLine="800" w:firstLineChars="200"/>
        <w:textAlignment w:val="auto"/>
        <w:rPr>
          <w:rFonts w:ascii="黑体" w:hAnsi="黑体" w:eastAsia="黑体"/>
          <w:sz w:val="40"/>
          <w:szCs w:val="40"/>
        </w:rPr>
      </w:pP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一、部门预算收支增减变化情况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2026年本部门收入预算689.89万元，其中：一般公共预算666.85万元，上年的结转资金23.05万元，比上</w:t>
      </w:r>
      <w:r>
        <w:rPr>
          <w:rFonts w:hint="eastAsia" w:ascii="仿宋_GB2312" w:hAnsi="仿宋_GB2312" w:eastAsia="仿宋_GB2312" w:cs="仿宋_GB2312"/>
          <w:sz w:val="32"/>
          <w:szCs w:val="32"/>
        </w:rPr>
        <w:t>年减少705.42万元，减少50.56%，主要原因是：新建6个司法所项目已完工；支出预算</w:t>
      </w:r>
      <w:r>
        <w:rPr>
          <w:rFonts w:hint="eastAsia" w:ascii="仿宋_GB2312" w:hAnsi="仿宋_GB2312" w:eastAsia="仿宋_GB2312" w:cs="仿宋_GB2312"/>
          <w:color w:val="000000" w:themeColor="text1"/>
          <w:sz w:val="32"/>
          <w:szCs w:val="32"/>
          <w14:textFill>
            <w14:solidFill>
              <w14:schemeClr w14:val="tx1"/>
            </w14:solidFill>
          </w14:textFill>
        </w:rPr>
        <w:t>689.89</w:t>
      </w:r>
      <w:r>
        <w:rPr>
          <w:rFonts w:hint="eastAsia" w:ascii="仿宋_GB2312" w:hAnsi="仿宋_GB2312" w:eastAsia="仿宋_GB2312" w:cs="仿宋_GB2312"/>
          <w:sz w:val="32"/>
          <w:szCs w:val="32"/>
        </w:rPr>
        <w:t>万元，其中：人员经费支出预算496.16万元，比上年增加95万元，增加23.68%，主要原因是：2026年我单位新增2名人员；公用经费支出预算28.99万元，比上年增加5.26万元，增加22.17%，主要原因是：新增2名行政人员；项目支出预算164.74万元，比上年减少805.69万元，减少83.02%，主要原因是：6个司法所已完工；</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二、“三公”经费安排情况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2026年本部门财政拨款安排“三公”经费</w:t>
      </w:r>
      <w:r>
        <w:rPr>
          <w:rFonts w:hint="eastAsia" w:ascii="仿宋_GB2312" w:hAnsi="仿宋_GB2312" w:eastAsia="仿宋_GB2312" w:cs="仿宋_GB2312"/>
          <w:color w:val="000000" w:themeColor="text1"/>
          <w:sz w:val="32"/>
          <w:szCs w:val="32"/>
          <w14:textFill>
            <w14:solidFill>
              <w14:schemeClr w14:val="tx1"/>
            </w14:solidFill>
          </w14:textFill>
        </w:rPr>
        <w:t>18.25万</w:t>
      </w:r>
      <w:r>
        <w:rPr>
          <w:rFonts w:hint="eastAsia" w:ascii="仿宋_GB2312" w:hAnsi="仿宋_GB2312" w:eastAsia="仿宋_GB2312" w:cs="仿宋_GB2312"/>
          <w:sz w:val="32"/>
          <w:szCs w:val="32"/>
        </w:rPr>
        <w:t>元，比上年增加</w:t>
      </w:r>
      <w:r>
        <w:rPr>
          <w:rFonts w:hint="eastAsia" w:ascii="仿宋_GB2312" w:hAnsi="仿宋_GB2312" w:eastAsia="仿宋_GB2312" w:cs="仿宋_GB2312"/>
          <w:color w:val="000000" w:themeColor="text1"/>
          <w:sz w:val="32"/>
          <w:szCs w:val="32"/>
          <w14:textFill>
            <w14:solidFill>
              <w14:schemeClr w14:val="tx1"/>
            </w14:solidFill>
          </w14:textFill>
        </w:rPr>
        <w:t>4.51万元，增加 32.82%</w:t>
      </w:r>
      <w:r>
        <w:rPr>
          <w:rFonts w:hint="eastAsia" w:ascii="仿宋_GB2312" w:hAnsi="仿宋_GB2312" w:eastAsia="仿宋_GB2312" w:cs="仿宋_GB2312"/>
          <w:sz w:val="32"/>
          <w:szCs w:val="32"/>
        </w:rPr>
        <w:t>，主要原因是：2026年下乡、出差较多。其中：因公出国（境）0万元；公务用车购置及运行维护费18.25万元（公务用车购置费0万元，比上年减少1.13万元；公务用车运行维护费18.25万元，比上年增加4.51万元），主要原因是：2026年无预算购置车辆；公务接待费0万元，比上年减少0万元；2026年因公出国（境）0个团组、0人；公务用车购置0辆、保有3量；国内公务接待0批次、0人.</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三、机关运行经费安排情况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2026年，本部门机关运行经费411.84万元，与上年增加78.94万元，增加23.7%，主要原因是：我单位新增加1名行政人员和1名事业人员。 </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四、政府采购情况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2025年本部门政府采购安排0万元。</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五、国有资产占有使用情况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截至2026年3月30日，本部门固定资产构成情况为：房屋1231平方米，车辆3辆，单价在50万元以上通用设备0台（套），单价在100万元以上专用设备0台（套）。本年度拟购置固定资产0万元</w:t>
      </w:r>
      <w:r>
        <w:rPr>
          <w:rFonts w:hint="eastAsia" w:ascii="仿宋" w:hAnsi="仿宋" w:eastAsia="仿宋"/>
          <w:sz w:val="32"/>
          <w:szCs w:val="32"/>
        </w:rPr>
        <w:t>。</w:t>
      </w:r>
    </w:p>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六、项目绩效目标情况</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2026年，实行绩效目标管理项目10个，资金164.74万元，实现项目支出绩效目标管理全覆盖。其中项目及绩效目标情况如下:</w:t>
      </w:r>
    </w:p>
    <w:tbl>
      <w:tblPr>
        <w:tblStyle w:val="8"/>
        <w:tblW w:w="0" w:type="auto"/>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302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预算项目</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预算数（单位：万元）</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6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司法办案业务经费</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109.98万元</w:t>
            </w:r>
          </w:p>
        </w:tc>
        <w:tc>
          <w:tcPr>
            <w:tcW w:w="2841" w:type="dxa"/>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保障司法各项业务开展，提升服务质效。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法律援助经费</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17.96万元</w:t>
            </w:r>
          </w:p>
        </w:tc>
        <w:tc>
          <w:tcPr>
            <w:tcW w:w="2841" w:type="dxa"/>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实现应援尽援，提升受援人满意度。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党建经费</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700" w:firstLineChars="25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0.3万元</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完成年度党建任务，增强队伍凝聚力。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6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行政复议工作经费</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700" w:firstLineChars="25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2万元</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依法及时审理复议案件，有效化解行政争议。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聘请法律顾问经费</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700" w:firstLineChars="25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7万元</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防范法律风险，保障重大决策合法合规。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26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人民调解经费</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700" w:firstLineChars="25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1.5万元</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提升矛盾纠纷调解率，维护基层稳定。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普法经费</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700" w:firstLineChars="25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5万元</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完成年度普法任务，提升群众的法治意识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司法所经费</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700" w:firstLineChars="25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15万元</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保障基层司法职能履行，服务基层治理。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****经费（社）</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700" w:firstLineChars="25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3万元</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保障重点人员监管安全，完成教育任务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****经费（安）</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460" w:lineRule="exact"/>
              <w:ind w:firstLine="700" w:firstLineChars="25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3万元</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保障重点人员，促进顺利回归。</w:t>
            </w:r>
          </w:p>
        </w:tc>
      </w:tr>
    </w:tbl>
    <w:p>
      <w:pPr>
        <w:keepNext w:val="0"/>
        <w:keepLines w:val="0"/>
        <w:pageBreakBefore w:val="0"/>
        <w:kinsoku/>
        <w:wordWrap/>
        <w:overflowPunct/>
        <w:topLinePunct w:val="0"/>
        <w:bidi w:val="0"/>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七、其他需要说明的情况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无政府债务情况</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widowControl/>
        <w:kinsoku/>
        <w:wordWrap/>
        <w:overflowPunct/>
        <w:topLinePunct w:val="0"/>
        <w:bidi w:val="0"/>
        <w:snapToGrid/>
        <w:spacing w:line="576" w:lineRule="exact"/>
        <w:jc w:val="center"/>
        <w:textAlignment w:val="auto"/>
        <w:rPr>
          <w:rFonts w:ascii="方正小标宋简体" w:hAnsi="仿宋" w:eastAsia="方正小标宋简体"/>
          <w:sz w:val="44"/>
          <w:szCs w:val="44"/>
        </w:rPr>
      </w:pPr>
      <w:r>
        <w:rPr>
          <w:rFonts w:hint="eastAsia" w:ascii="方正小标宋简体" w:hAnsi="方正小标宋简体" w:eastAsia="方正小标宋简体" w:cs="方正小标宋简体"/>
          <w:sz w:val="44"/>
          <w:szCs w:val="44"/>
        </w:rPr>
        <w:t>第四部分  名词解释</w:t>
      </w:r>
    </w:p>
    <w:p>
      <w:pPr>
        <w:keepNext w:val="0"/>
        <w:keepLines w:val="0"/>
        <w:pageBreakBefore w:val="0"/>
        <w:kinsoku/>
        <w:wordWrap/>
        <w:overflowPunct/>
        <w:topLinePunct w:val="0"/>
        <w:bidi w:val="0"/>
        <w:snapToGrid/>
        <w:spacing w:line="576" w:lineRule="exact"/>
        <w:ind w:firstLine="880" w:firstLineChars="200"/>
        <w:textAlignment w:val="auto"/>
        <w:rPr>
          <w:rFonts w:ascii="黑体" w:hAnsi="黑体" w:eastAsia="黑体"/>
          <w:sz w:val="44"/>
          <w:szCs w:val="44"/>
        </w:rPr>
      </w:pP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cs="黑体"/>
          <w:sz w:val="32"/>
          <w:szCs w:val="32"/>
        </w:rPr>
        <w:t>一、财政拨款收入：</w:t>
      </w:r>
      <w:r>
        <w:rPr>
          <w:rFonts w:hint="eastAsia" w:ascii="仿宋" w:hAnsi="仿宋" w:eastAsia="仿宋"/>
          <w:sz w:val="32"/>
          <w:szCs w:val="32"/>
        </w:rPr>
        <w:t>指预算单位从本级财政部门取得的财政预算资金收入。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三、经营收入：</w:t>
      </w:r>
      <w:r>
        <w:rPr>
          <w:rFonts w:hint="eastAsia" w:ascii="仿宋" w:hAnsi="仿宋" w:eastAsia="仿宋"/>
          <w:sz w:val="32"/>
          <w:szCs w:val="32"/>
        </w:rPr>
        <w:t>指事业单位在专业业务活动及其辅助活动之外开展非独立核算经营活动取得的收入。</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其他收入：</w:t>
      </w:r>
      <w:r>
        <w:rPr>
          <w:rFonts w:hint="eastAsia" w:ascii="仿宋" w:hAnsi="仿宋" w:eastAsia="仿宋"/>
          <w:sz w:val="32"/>
          <w:szCs w:val="32"/>
        </w:rPr>
        <w:t>指除上述“财政拨款收入”、“事业收入”、“经营收入”等以外的收入。主要是非本级财政拨款、存款利息收入、事业单位固定资产出租收入等。</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五、上年结转：</w:t>
      </w:r>
      <w:r>
        <w:rPr>
          <w:rFonts w:hint="eastAsia" w:ascii="仿宋" w:hAnsi="仿宋" w:eastAsia="仿宋"/>
          <w:sz w:val="32"/>
          <w:szCs w:val="32"/>
        </w:rPr>
        <w:t>指以前年度安排、结转到本年仍按原规定用途继续使用的资金。</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六、用事业基金弥补收支差额：</w:t>
      </w:r>
      <w:r>
        <w:rPr>
          <w:rFonts w:hint="eastAsia" w:ascii="仿宋" w:hAnsi="仿宋" w:eastAsia="仿宋"/>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kinsoku/>
        <w:wordWrap/>
        <w:overflowPunct/>
        <w:topLinePunct w:val="0"/>
        <w:bidi w:val="0"/>
        <w:snapToGrid/>
        <w:spacing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基本支出</w:t>
      </w:r>
      <w:r>
        <w:rPr>
          <w:rFonts w:hint="eastAsia" w:ascii="黑体" w:hAnsi="黑体" w:eastAsia="黑体"/>
          <w:sz w:val="32"/>
          <w:szCs w:val="32"/>
        </w:rPr>
        <w:t>：</w:t>
      </w:r>
      <w:r>
        <w:rPr>
          <w:rFonts w:ascii="仿宋" w:hAnsi="仿宋" w:eastAsia="仿宋"/>
          <w:sz w:val="32"/>
          <w:szCs w:val="32"/>
        </w:rPr>
        <w:t>指为保障机构正常运转</w:t>
      </w:r>
      <w:r>
        <w:rPr>
          <w:rFonts w:hint="eastAsia" w:ascii="仿宋" w:hAnsi="仿宋" w:eastAsia="仿宋"/>
          <w:sz w:val="32"/>
          <w:szCs w:val="32"/>
        </w:rPr>
        <w:t>、</w:t>
      </w:r>
      <w:r>
        <w:rPr>
          <w:rFonts w:ascii="仿宋" w:hAnsi="仿宋" w:eastAsia="仿宋"/>
          <w:sz w:val="32"/>
          <w:szCs w:val="32"/>
        </w:rPr>
        <w:t>完成日常工作任务而发生的人员支出和公用支出</w:t>
      </w:r>
      <w:r>
        <w:rPr>
          <w:rFonts w:hint="eastAsia" w:ascii="仿宋" w:hAnsi="仿宋" w:eastAsia="仿宋"/>
          <w:sz w:val="32"/>
          <w:szCs w:val="32"/>
        </w:rPr>
        <w:t>。</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_GB2312" w:eastAsia="仿宋_GB2312" w:cs="仿宋_GB2312" w:hAnsiTheme="minorHAnsi"/>
          <w:kern w:val="0"/>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经营支出：</w:t>
      </w:r>
      <w:r>
        <w:rPr>
          <w:rFonts w:hint="eastAsia" w:ascii="仿宋" w:hAnsi="仿宋" w:eastAsia="仿宋"/>
          <w:sz w:val="32"/>
          <w:szCs w:val="32"/>
        </w:rPr>
        <w:t>指事业单位在专业业务活动及其辅助活动之外开展非独立核算经营活动发生的支出。</w:t>
      </w:r>
    </w:p>
    <w:p>
      <w:pPr>
        <w:keepNext w:val="0"/>
        <w:keepLines w:val="0"/>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sz w:val="32"/>
          <w:szCs w:val="32"/>
        </w:rPr>
      </w:pPr>
      <w:r>
        <w:rPr>
          <w:rFonts w:ascii="黑体" w:hAnsi="黑体" w:eastAsia="黑体"/>
          <w:sz w:val="32"/>
          <w:szCs w:val="32"/>
        </w:rPr>
        <w:t>十</w:t>
      </w:r>
      <w:r>
        <w:rPr>
          <w:rFonts w:hint="eastAsia" w:ascii="黑体" w:hAnsi="黑体" w:eastAsia="黑体"/>
          <w:sz w:val="32"/>
          <w:szCs w:val="32"/>
        </w:rPr>
        <w:t>、</w:t>
      </w:r>
      <w:r>
        <w:rPr>
          <w:rFonts w:ascii="黑体" w:hAnsi="黑体" w:eastAsia="黑体"/>
          <w:sz w:val="32"/>
          <w:szCs w:val="32"/>
        </w:rPr>
        <w:t>行政经费</w:t>
      </w:r>
      <w:r>
        <w:rPr>
          <w:rFonts w:hint="eastAsia" w:ascii="黑体" w:hAnsi="黑体" w:eastAsia="黑体"/>
          <w:sz w:val="32"/>
          <w:szCs w:val="32"/>
        </w:rPr>
        <w:t>（机关运行经费）：</w:t>
      </w:r>
      <w:r>
        <w:rPr>
          <w:rFonts w:hint="eastAsia" w:ascii="仿宋" w:hAnsi="仿宋" w:eastAsia="仿宋"/>
          <w:sz w:val="32"/>
          <w:szCs w:val="32"/>
        </w:rPr>
        <w:t>指用于维持行政（参</w:t>
      </w:r>
      <w:r>
        <w:rPr>
          <w:rFonts w:hint="eastAsia" w:ascii="仿宋_GB2312" w:hAnsi="仿宋_GB2312" w:eastAsia="仿宋_GB2312" w:cs="仿宋_GB2312"/>
          <w:sz w:val="32"/>
          <w:szCs w:val="32"/>
        </w:rPr>
        <w:t>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keepNext w:val="0"/>
        <w:keepLines w:val="0"/>
        <w:pageBreakBefore w:val="0"/>
        <w:kinsoku/>
        <w:wordWrap/>
        <w:overflowPunct/>
        <w:topLinePunct w:val="0"/>
        <w:autoSpaceDE w:val="0"/>
        <w:autoSpaceDN w:val="0"/>
        <w:bidi w:val="0"/>
        <w:adjustRightInd w:val="0"/>
        <w:snapToGrid/>
        <w:spacing w:line="576"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十一、“三公”经费：</w:t>
      </w:r>
      <w:r>
        <w:rPr>
          <w:rFonts w:hint="eastAsia" w:ascii="仿宋" w:hAnsi="仿宋" w:eastAsia="仿宋"/>
          <w:sz w:val="32"/>
          <w:szCs w:val="32"/>
        </w:rPr>
        <w:t>是指部门（单位）使用财政拨款</w:t>
      </w:r>
      <w:r>
        <w:rPr>
          <w:rFonts w:hint="eastAsia" w:ascii="仿宋_GB2312" w:hAnsi="仿宋_GB2312" w:eastAsia="仿宋_GB2312" w:cs="仿宋_GB2312"/>
          <w:sz w:val="32"/>
          <w:szCs w:val="32"/>
        </w:rPr>
        <w:t>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r>
        <w:rPr>
          <w:rFonts w:hint="eastAsia" w:ascii="仿宋" w:hAnsi="仿宋" w:eastAsia="仿宋"/>
          <w:sz w:val="32"/>
          <w:szCs w:val="32"/>
        </w:rPr>
        <w:t>。</w:t>
      </w:r>
    </w:p>
    <w:p>
      <w:pPr>
        <w:keepNext w:val="0"/>
        <w:keepLines w:val="0"/>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黑体" w:hAnsi="黑体" w:eastAsia="黑体"/>
          <w:sz w:val="32"/>
          <w:szCs w:val="32"/>
        </w:rPr>
        <w:t>十二</w:t>
      </w:r>
      <w:r>
        <w:rPr>
          <w:rFonts w:ascii="黑体" w:hAnsi="黑体" w:eastAsia="黑体"/>
          <w:sz w:val="32"/>
          <w:szCs w:val="32"/>
        </w:rPr>
        <w:t>、</w:t>
      </w:r>
      <w:r>
        <w:rPr>
          <w:rFonts w:hint="eastAsia" w:ascii="黑体" w:hAnsi="黑体" w:eastAsia="黑体"/>
          <w:sz w:val="32"/>
          <w:szCs w:val="32"/>
        </w:rPr>
        <w:t>重点项目：</w:t>
      </w:r>
      <w:r>
        <w:rPr>
          <w:rFonts w:hint="eastAsia" w:ascii="仿宋_GB2312" w:hAnsi="仿宋_GB2312" w:eastAsia="仿宋_GB2312" w:cs="仿宋_GB2312"/>
          <w:sz w:val="32"/>
          <w:szCs w:val="32"/>
        </w:rPr>
        <w:t>贯彻落实自治区党委、政府重大方针政策和决策部署的项目，覆盖面广、影响力大、社会关注度高、实施期长的项目，或与本部门职能职责密切相关的项目或预算安排支出相对较大的项目</w:t>
      </w:r>
      <w:r>
        <w:rPr>
          <w:rFonts w:hint="eastAsia" w:ascii="仿宋" w:hAnsi="仿宋" w:eastAsia="仿宋"/>
          <w:sz w:val="32"/>
          <w:szCs w:val="32"/>
        </w:rPr>
        <w:t>。</w:t>
      </w:r>
    </w:p>
    <w:p>
      <w:pPr>
        <w:keepNext w:val="0"/>
        <w:keepLines w:val="0"/>
        <w:pageBreakBefore w:val="0"/>
        <w:kinsoku/>
        <w:wordWrap/>
        <w:overflowPunct/>
        <w:topLinePunct w:val="0"/>
        <w:bidi w:val="0"/>
        <w:snapToGrid/>
        <w:spacing w:line="576" w:lineRule="exact"/>
        <w:textAlignment w:val="auto"/>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45"/>
    <w:rsid w:val="00021B40"/>
    <w:rsid w:val="000D0019"/>
    <w:rsid w:val="00195286"/>
    <w:rsid w:val="001D15C1"/>
    <w:rsid w:val="00326958"/>
    <w:rsid w:val="00334772"/>
    <w:rsid w:val="00381379"/>
    <w:rsid w:val="00383003"/>
    <w:rsid w:val="00390EC5"/>
    <w:rsid w:val="00450D62"/>
    <w:rsid w:val="00466E17"/>
    <w:rsid w:val="004743E5"/>
    <w:rsid w:val="004C153D"/>
    <w:rsid w:val="00530F0C"/>
    <w:rsid w:val="006923E9"/>
    <w:rsid w:val="00714A45"/>
    <w:rsid w:val="00784211"/>
    <w:rsid w:val="00804D5D"/>
    <w:rsid w:val="00886982"/>
    <w:rsid w:val="009228ED"/>
    <w:rsid w:val="009848E5"/>
    <w:rsid w:val="009A37AE"/>
    <w:rsid w:val="009F49E2"/>
    <w:rsid w:val="00A00980"/>
    <w:rsid w:val="00A93BF3"/>
    <w:rsid w:val="00AD7C75"/>
    <w:rsid w:val="00B11221"/>
    <w:rsid w:val="00B656D6"/>
    <w:rsid w:val="00BB6DD1"/>
    <w:rsid w:val="00C10B5A"/>
    <w:rsid w:val="00C23580"/>
    <w:rsid w:val="00C42E9D"/>
    <w:rsid w:val="00C544CE"/>
    <w:rsid w:val="00C71E2D"/>
    <w:rsid w:val="00C75ACF"/>
    <w:rsid w:val="00CC2C24"/>
    <w:rsid w:val="00CF684D"/>
    <w:rsid w:val="00D01BC5"/>
    <w:rsid w:val="00D24739"/>
    <w:rsid w:val="00D45333"/>
    <w:rsid w:val="00D84188"/>
    <w:rsid w:val="00D90874"/>
    <w:rsid w:val="00DB4EA2"/>
    <w:rsid w:val="00E35AE1"/>
    <w:rsid w:val="00E719B4"/>
    <w:rsid w:val="00EB4D5E"/>
    <w:rsid w:val="00EC4480"/>
    <w:rsid w:val="00F36E17"/>
    <w:rsid w:val="00F54834"/>
    <w:rsid w:val="00F623EF"/>
    <w:rsid w:val="00FF214E"/>
    <w:rsid w:val="02F92FDD"/>
    <w:rsid w:val="32F30732"/>
    <w:rsid w:val="39F93B98"/>
    <w:rsid w:val="3F1331FA"/>
    <w:rsid w:val="3FF78320"/>
    <w:rsid w:val="655E7D2E"/>
    <w:rsid w:val="67FFFC51"/>
    <w:rsid w:val="69255181"/>
    <w:rsid w:val="70455D5A"/>
    <w:rsid w:val="7A733E62"/>
    <w:rsid w:val="AEDB2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rPr>
      <w:rFonts w:ascii="Calibri" w:hAnsi="Calibri"/>
      <w:szCs w:val="22"/>
    </w:rPr>
  </w:style>
  <w:style w:type="paragraph" w:styleId="3">
    <w:name w:val="Body Text"/>
    <w:basedOn w:val="1"/>
    <w:link w:val="15"/>
    <w:qFormat/>
    <w:uiPriority w:val="0"/>
    <w:pPr>
      <w:widowControl/>
      <w:adjustRightInd w:val="0"/>
      <w:snapToGrid w:val="0"/>
      <w:spacing w:line="360" w:lineRule="auto"/>
    </w:pPr>
    <w:rPr>
      <w:rFonts w:ascii="仿宋_GB2312" w:hAnsi="宋体" w:eastAsia="仿宋_GB2312"/>
      <w:kern w:val="0"/>
      <w:sz w:val="28"/>
    </w:rPr>
  </w:style>
  <w:style w:type="paragraph" w:styleId="4">
    <w:name w:val="Balloon Text"/>
    <w:basedOn w:val="1"/>
    <w:link w:val="16"/>
    <w:unhideWhenUsed/>
    <w:qFormat/>
    <w:uiPriority w:val="99"/>
    <w:rPr>
      <w:rFonts w:ascii="Calibri" w:hAnsi="Calibri"/>
      <w:kern w:val="0"/>
      <w:sz w:val="18"/>
      <w:szCs w:val="18"/>
    </w:rPr>
  </w:style>
  <w:style w:type="paragraph" w:styleId="5">
    <w:name w:val="footer"/>
    <w:basedOn w:val="1"/>
    <w:link w:val="14"/>
    <w:qFormat/>
    <w:uiPriority w:val="0"/>
    <w:pPr>
      <w:tabs>
        <w:tab w:val="center" w:pos="4153"/>
        <w:tab w:val="right" w:pos="8306"/>
      </w:tabs>
      <w:snapToGrid w:val="0"/>
      <w:jc w:val="left"/>
    </w:pPr>
    <w:rPr>
      <w:kern w:val="0"/>
      <w:sz w:val="18"/>
      <w:szCs w:val="20"/>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basedOn w:val="9"/>
    <w:qFormat/>
    <w:uiPriority w:val="0"/>
  </w:style>
  <w:style w:type="character" w:customStyle="1" w:styleId="12">
    <w:name w:val="批注文字 Char"/>
    <w:basedOn w:val="9"/>
    <w:link w:val="2"/>
    <w:qFormat/>
    <w:uiPriority w:val="99"/>
  </w:style>
  <w:style w:type="character" w:customStyle="1" w:styleId="13">
    <w:name w:val="页眉 Char"/>
    <w:link w:val="6"/>
    <w:qFormat/>
    <w:uiPriority w:val="99"/>
    <w:rPr>
      <w:sz w:val="18"/>
      <w:szCs w:val="18"/>
    </w:rPr>
  </w:style>
  <w:style w:type="character" w:customStyle="1" w:styleId="14">
    <w:name w:val="页脚 Char"/>
    <w:link w:val="5"/>
    <w:qFormat/>
    <w:uiPriority w:val="0"/>
    <w:rPr>
      <w:rFonts w:ascii="Times New Roman" w:hAnsi="Times New Roman" w:eastAsia="宋体" w:cs="Times New Roman"/>
      <w:sz w:val="18"/>
      <w:szCs w:val="20"/>
    </w:rPr>
  </w:style>
  <w:style w:type="character" w:customStyle="1" w:styleId="15">
    <w:name w:val="正文文本 Char"/>
    <w:link w:val="3"/>
    <w:qFormat/>
    <w:uiPriority w:val="0"/>
    <w:rPr>
      <w:rFonts w:ascii="仿宋_GB2312" w:hAnsi="宋体" w:eastAsia="仿宋_GB2312" w:cs="Times New Roman"/>
      <w:kern w:val="0"/>
      <w:sz w:val="28"/>
      <w:szCs w:val="24"/>
    </w:rPr>
  </w:style>
  <w:style w:type="character" w:customStyle="1" w:styleId="16">
    <w:name w:val="批注框文本 Char"/>
    <w:link w:val="4"/>
    <w:qFormat/>
    <w:uiPriority w:val="99"/>
    <w:rPr>
      <w:sz w:val="18"/>
      <w:szCs w:val="18"/>
    </w:rPr>
  </w:style>
  <w:style w:type="paragraph" w:styleId="17">
    <w:name w:val="List Paragraph"/>
    <w:basedOn w:val="1"/>
    <w:qFormat/>
    <w:uiPriority w:val="99"/>
    <w:pPr>
      <w:ind w:firstLine="420" w:firstLineChars="200"/>
    </w:pPr>
    <w:rPr>
      <w:rFonts w:ascii="Calibri" w:hAnsi="Calibri"/>
      <w:szCs w:val="22"/>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3832</Words>
  <Characters>4016</Characters>
  <Lines>29</Lines>
  <Paragraphs>8</Paragraphs>
  <TotalTime>1</TotalTime>
  <ScaleCrop>false</ScaleCrop>
  <LinksUpToDate>false</LinksUpToDate>
  <CharactersWithSpaces>4022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2026-03-30T15:03:00Z</dcterms:created>
  <dc:creator>LZXzf</dc:creator>
  <cp:lastModifiedBy>Administrator</cp:lastModifiedBy>
  <cp:lastPrinted>2026-03-30T10:34:00Z</cp:lastPrinted>
  <dcterms:modified xsi:type="dcterms:W3CDTF">2026-04-13T10:45:23Z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eyJoZGlkIjoiNThlYWRkMWI2MWIwMTY3MzU5Zjc3MzMzMmExMTI4ZGIiLCJ1c2VySWQiOiI0MjI0NjY0MzEifQ==</vt:lpwstr>
  </property>
  <property fmtid="{D5CDD505-2E9C-101B-9397-08002B2CF9AE}" pid="3" name="KSOProductBuildVer">
    <vt:lpwstr>2052-11.1.0.10132</vt:lpwstr>
  </property>
  <property fmtid="{D5CDD505-2E9C-101B-9397-08002B2CF9AE}" pid="4" name="ICV">
    <vt:lpwstr>9375FE82AA714F2CA50C1092557A1BFA_12</vt:lpwstr>
  </property>
</Properties>
</file>