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bookmarkStart w:id="0" w:name="_GoBack"/>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2026年组织部部门预算</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spacing w:line="576" w:lineRule="exact"/>
        <w:ind w:firstLine="880" w:firstLineChars="200"/>
        <w:jc w:val="left"/>
        <w:textAlignment w:val="auto"/>
        <w:rPr>
          <w:rFonts w:ascii="方正小标宋简体" w:hAnsi="仿宋" w:eastAsia="方正小标宋简体"/>
          <w:sz w:val="44"/>
          <w:szCs w:val="44"/>
        </w:rPr>
      </w:pPr>
      <w:r>
        <w:rPr>
          <w:rFonts w:ascii="方正小标宋简体" w:hAnsi="仿宋" w:eastAsia="方正小标宋简体"/>
          <w:sz w:val="44"/>
          <w:szCs w:val="44"/>
        </w:rPr>
        <w:br w:type="page"/>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sz w:val="32"/>
          <w:szCs w:val="32"/>
        </w:rPr>
      </w:pPr>
      <w:r>
        <w:rPr>
          <w:rFonts w:hint="eastAsia" w:ascii="方正小标宋简体" w:hAnsi="仿宋" w:eastAsia="方正小标宋简体"/>
          <w:b/>
          <w:sz w:val="32"/>
          <w:szCs w:val="32"/>
        </w:rPr>
        <w:t>第一部分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组织部部门（单位）概况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一、主要职责</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二、部门机构设置</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ascii="方正小标宋简体" w:hAnsi="仿宋" w:eastAsia="方正小标宋简体"/>
          <w:b/>
          <w:sz w:val="32"/>
          <w:szCs w:val="32"/>
        </w:rPr>
        <w:t xml:space="preserve"> 2026年部门预算表</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sz w:val="32"/>
          <w:szCs w:val="32"/>
        </w:rPr>
      </w:pPr>
      <w:r>
        <w:rPr>
          <w:rFonts w:hint="eastAsia" w:ascii="方正小标宋简体" w:hAnsi="仿宋" w:eastAsia="方正小标宋简体"/>
          <w:b/>
          <w:sz w:val="32"/>
          <w:szCs w:val="32"/>
        </w:rPr>
        <w:t>第三部分</w:t>
      </w:r>
      <w:r>
        <w:rPr>
          <w:rFonts w:ascii="方正小标宋简体" w:hAnsi="仿宋" w:eastAsia="方正小标宋简体"/>
          <w:b/>
          <w:sz w:val="32"/>
          <w:szCs w:val="32"/>
        </w:rPr>
        <w:t xml:space="preserve"> 2026年部门预算情况说明</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一、部门预算收支增减变化情况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二、“三公”经费安排情况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四、政府采购情况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五、国有资产占有使用情况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其他需要说明的</w:t>
      </w:r>
      <w:r>
        <w:rPr>
          <w:rFonts w:ascii="黑体" w:hAnsi="黑体" w:eastAsia="黑体"/>
          <w:sz w:val="32"/>
          <w:szCs w:val="32"/>
        </w:rPr>
        <w:t>情况</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ascii="方正小标宋简体" w:hAnsi="仿宋" w:eastAsia="方正小标宋简体"/>
          <w:sz w:val="32"/>
          <w:szCs w:val="32"/>
        </w:rPr>
      </w:pPr>
      <w:r>
        <w:rPr>
          <w:rFonts w:ascii="方正小标宋简体" w:hAnsi="仿宋" w:eastAsia="方正小标宋简体"/>
          <w:sz w:val="32"/>
          <w:szCs w:val="32"/>
        </w:rPr>
        <w:br w:type="page"/>
      </w:r>
    </w:p>
    <w:p>
      <w:pPr>
        <w:keepNext w:val="0"/>
        <w:keepLines w:val="0"/>
        <w:pageBreakBefore w:val="0"/>
        <w:kinsoku/>
        <w:wordWrap/>
        <w:overflowPunct/>
        <w:topLinePunct w:val="0"/>
        <w:bidi w:val="0"/>
        <w:snapToGrid/>
        <w:spacing w:line="576" w:lineRule="exact"/>
        <w:ind w:firstLine="800" w:firstLineChars="200"/>
        <w:jc w:val="center"/>
        <w:textAlignment w:val="auto"/>
        <w:rPr>
          <w:rFonts w:ascii="方正小标宋简体" w:hAnsi="仿宋" w:eastAsia="方正小标宋简体"/>
          <w:sz w:val="40"/>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0"/>
          <w:szCs w:val="32"/>
        </w:rPr>
      </w:pPr>
      <w:r>
        <w:rPr>
          <w:rFonts w:hint="eastAsia" w:ascii="方正小标宋简体" w:hAnsi="仿宋" w:eastAsia="方正小标宋简体"/>
          <w:sz w:val="40"/>
          <w:szCs w:val="32"/>
        </w:rPr>
        <w:t xml:space="preserve">第一部分 </w:t>
      </w:r>
    </w:p>
    <w:p>
      <w:pPr>
        <w:keepNext w:val="0"/>
        <w:keepLines w:val="0"/>
        <w:pageBreakBefore w:val="0"/>
        <w:kinsoku/>
        <w:wordWrap/>
        <w:overflowPunct/>
        <w:topLinePunct w:val="0"/>
        <w:bidi w:val="0"/>
        <w:snapToGrid/>
        <w:spacing w:line="576" w:lineRule="exact"/>
        <w:jc w:val="center"/>
        <w:textAlignment w:val="auto"/>
        <w:rPr>
          <w:rFonts w:ascii="仿宋" w:hAnsi="仿宋" w:eastAsia="仿宋"/>
          <w:sz w:val="40"/>
          <w:szCs w:val="32"/>
        </w:rPr>
      </w:pPr>
      <w:r>
        <w:rPr>
          <w:rFonts w:hint="eastAsia" w:ascii="方正小标宋简体" w:hAnsi="仿宋" w:eastAsia="方正小标宋简体"/>
          <w:sz w:val="40"/>
          <w:szCs w:val="32"/>
        </w:rPr>
        <w:t>中共西藏洛扎县委员会组织部（编办）概况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一、主要职责</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县委组织部（县委编办）主要职责是：</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一）深入贯彻习近平新时代中国特色社会主义思想，贯彻新时代党的建设总要求和新时代党的组织路线，深入贯彻党中央、区党委、市委关于组织工作、机构编制和离退休干部工作的决策部署，全面落实离退休干部政治、生活待遇。坚持党对组织工作、机构编制和离退休干部的绝对领导，坚决维护党中央权威和集中统一领导。</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（二）负责全县党的组织体系建设，提出加强和改进党的基层组织建设的意见和建议；负责全县党的组织制度和政策法规建设，负责党建理论研究工作。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三）承担和指导县委、人大、政府、政协换届选举有关工作，指导有关单位、企业党组织和群团组织换届选举工作；负责乡（镇）和村（居）换届选举工作，负责党代表教育培训和联络服务工作；负责指导领导班子民主生活会和基层党组织</w:t>
      </w:r>
      <w:r>
        <w:rPr>
          <w:rFonts w:hint="eastAsia" w:ascii="仿宋" w:hAnsi="仿宋" w:eastAsia="仿宋"/>
          <w:sz w:val="32"/>
          <w:szCs w:val="32"/>
          <w:lang w:eastAsia="zh-CN"/>
        </w:rPr>
        <w:t>组织</w:t>
      </w:r>
      <w:r>
        <w:rPr>
          <w:rFonts w:hint="eastAsia" w:ascii="仿宋" w:hAnsi="仿宋" w:eastAsia="仿宋"/>
          <w:sz w:val="32"/>
          <w:szCs w:val="32"/>
        </w:rPr>
        <w:t>生活会；研究和指导全县党内民主建设；负责全县有关党组织设置事宜。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四）负责全县基层党建述职评议考核工作，配合提出党的组织制度、党内生活制度建设意见，负责开展党务公开，发展党内民主。负责开展农牧区基层党组织建设，负责指导全县城市、机关、学校、事业单位、国有企业、离退休、寺管会等领域基层党组织建设，提出加强和改进工作的意见建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五）负责全县党员教育管理和发展工作，参与研究和提出全县党员队伍建设的政策规定；负责全县农村党员干部现代远程教育和党员电化教育工作；负责全县党内统计和党费管理工作；负责党员信息化建设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（六）负责组织开展党内教育活动；负责会同相关部门组织开展干部驻村工作，研究和提出加强改进干部驻村工作的意见建议。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（七）负责开展村（居）组织换届选举工作。负责整顿村（居）软弱涣散基层党组织。负责村（居）班子建设，做好村（居）干部教育、管理、服务工作，培养村（居）后备干部。</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（八）研究提出关于抓党建促脱贫攻坚、乡村振兴的意见建议并组织实施。会同有关方面做好干部驻村、第一书记相关工作。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（九）负责全县党员队伍建设工作，指导党员发展、教育、管理、监督工作和民主评议党员工作，保障党员民主</w:t>
      </w:r>
      <w:r>
        <w:rPr>
          <w:rFonts w:hint="eastAsia" w:ascii="仿宋" w:hAnsi="仿宋" w:eastAsia="仿宋"/>
          <w:sz w:val="32"/>
          <w:szCs w:val="32"/>
          <w:lang w:eastAsia="zh-CN"/>
        </w:rPr>
        <w:t>权利</w:t>
      </w:r>
      <w:r>
        <w:rPr>
          <w:rFonts w:hint="eastAsia" w:ascii="仿宋" w:hAnsi="仿宋" w:eastAsia="仿宋"/>
          <w:sz w:val="32"/>
          <w:szCs w:val="32"/>
        </w:rPr>
        <w:t>；负责全县党员信息化建设、党费管理、党内统计、党内表彰和激励关怀帮扶工作。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（十）负责开展全县非公有制经济组织、社会组织、互联网等新兴领域党建工作，研究提出加强和改进党建工作的意见建议。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一）贯彻执行党的干部路线、方针、政策，负责全县领导班子和干部队伍建设的宏观管理和综合协调工作；研究和指导领导班子及成员政治、组织、思想、作风、纪律建设；拟定干部队伍建设的有关规定，推进干部人事制度改革。</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二）负责对乡（科）级领导班子、领导干部的考察考核，提出调整、配备的意见和建议，办理县委管理干部的任免、交流、待遇及退休审批等事项；参与干部人事档案政策研究，负责干部人事档案具体管理等工作；协助管理县（处）级领导班子和领导干部；负责计划内军队转业干部安置工作；负责县管干部职工出国（境）政治审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（十三）综合管理培养选拔县委组织部掌握的优秀年轻干部；指导协调培养选拔少数民族干部、妇女干部和党外干部工作，配合好县处级干部、乡科级干部的挂职锻炼工作。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四）贯彻执行公务员管理有关法律法规和政策，统一管理公务员工作，依法实施公务员职位分类，职务与职级并行，录用调配、考核奖惩、惩戒申诉、聘任制公务员管理、培训和工资福利等，指导全县公务员队伍建设和绩效管理，负责公务员交流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五）贯彻落实有关人才工作的方针政策和县委的相关部署；负责全县人才工作的牵头抓总、宏观指导、组织协调和督促检查工作；拟定并协调落实人才队伍建设规划，提出加强人才工作和队伍建设的意见和建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（十六）贯彻有关知识分子政策，并组织实施；指导全县知识分子工作。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七）负责全县干部教育培训工作。贯彻落实干部教育培训有关政策规定，拟定并落实干部教育规划，并组织实施；承担学员调训；指导协调和检查全县干部教育培训工作；组织实施人才智力对口支援培训项目计划；指导干部培训基地、师资队伍和教材建设等工作；完善干部教育培训制度。</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（十八）参与制定全县干部监督、审查的有关规定，负责县委管理干部的监督、审查工作；监督检查贯彻执行党的干部政策的情况，防止和纠正选人用人上的不正之风。</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（十九）负责对口支援干部人才工作；组织实施对口支援干部人才管理的制度和办法；申报对口支援干部人才需求计划并组织落实；会同派出单位做好对口支援干部人</w:t>
      </w:r>
      <w:r>
        <w:rPr>
          <w:rFonts w:hint="eastAsia" w:ascii="仿宋" w:hAnsi="仿宋" w:eastAsia="仿宋"/>
          <w:sz w:val="32"/>
          <w:szCs w:val="32"/>
          <w:lang w:eastAsia="zh-CN"/>
        </w:rPr>
        <w:t>才</w:t>
      </w:r>
      <w:r>
        <w:rPr>
          <w:rFonts w:hint="eastAsia" w:ascii="仿宋" w:hAnsi="仿宋" w:eastAsia="仿宋"/>
          <w:sz w:val="32"/>
          <w:szCs w:val="32"/>
        </w:rPr>
        <w:t>的考察、考核工作并提出使用意见。</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贯彻落实中央和自治区关于行政体制改革、机构改革和机构编制管理的方针政策、法律法规，负责拟定并组织实施全县各级行政体制改革、机构改革总体方案和机构编制管理办法，承担全县各级行政体制改革、机构改革和机构编制管理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（二十一）统一管理县委、人大、政府、政协机关，各人民团体和群众团体的机构编制工作。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（二十二）审核县委、县政府各部门的职能配置。协调县委、县政府各部门之间以及各部门与乡镇的职责分工。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（二十三）审核县委、人大、政府、政协机关，</w:t>
      </w:r>
      <w:r>
        <w:rPr>
          <w:rFonts w:hint="eastAsia" w:ascii="仿宋" w:hAnsi="仿宋" w:eastAsia="仿宋"/>
          <w:sz w:val="32"/>
          <w:szCs w:val="32"/>
          <w:lang w:eastAsia="zh-CN"/>
        </w:rPr>
        <w:t>各</w:t>
      </w:r>
      <w:r>
        <w:rPr>
          <w:rFonts w:hint="eastAsia" w:ascii="仿宋" w:hAnsi="仿宋" w:eastAsia="仿宋"/>
          <w:sz w:val="32"/>
          <w:szCs w:val="32"/>
        </w:rPr>
        <w:t>人民</w:t>
      </w:r>
      <w:r>
        <w:rPr>
          <w:rFonts w:hint="eastAsia" w:ascii="仿宋" w:hAnsi="仿宋" w:eastAsia="仿宋"/>
          <w:sz w:val="32"/>
          <w:szCs w:val="32"/>
          <w:lang w:eastAsia="zh-CN"/>
        </w:rPr>
        <w:t>群众</w:t>
      </w:r>
      <w:r>
        <w:rPr>
          <w:rFonts w:hint="eastAsia" w:ascii="仿宋" w:hAnsi="仿宋" w:eastAsia="仿宋"/>
          <w:sz w:val="32"/>
          <w:szCs w:val="32"/>
        </w:rPr>
        <w:t>的内设机构、人员编制和领导职数；审核乡镇、街道办事处行政事业机构设置和人员编制的意见和建议。</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四）负责拟定全县事业单位管理体制和机构改革总体方案并组织实施；审核县直属事业单位和县各部门所属事业单位、乡镇科技事业单位的机构编制，管理全县各级事业编制总量；负责全县事业单位登记管理和党政群机关统一社会信用代码赋码管理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五）贯彻执行全县各级机构编制管理的方针、政策和法规；贯彻执行全县各级行政体制改革和机构改革方案以及事业单位管理体制改革和机构改革方案；负责全县机关、事业单位人员总量控制和本级机构编制实名制管理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六）组织开展选人用人专项检查和换届风气监督；负责干部选拔任用“一报告两评议”工作；承担领导干部个人有关事项报告和抽查核实工作‘受理核查反映选人用人方面的问题并开展专项整治，转办督办来信来访、通过“12380”专用举报系统反映的选人用人方面的问题的举报；组织实施领导干部提醒谈话、函询和诫勉；负责转办县处级干部和乡镇党政正职外出报批报备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七）负责监督检查各单位“三定”规定（方案）的执行情况；受理违反机构改革和机构编制规定的检举、投诉、信访，并对违反规定的问题提出处理意见建议；负责全县机构编制系统“12310”专用举报电话的管理、受理和督办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（二十八）组织实施新闻网宣和信息工作相关政策、规划；组织协调全县组织编制重点宣传；负责对新闻网宣和信息工作内容审核把关；负责全县</w:t>
      </w:r>
      <w:r>
        <w:rPr>
          <w:rFonts w:hint="eastAsia" w:ascii="仿宋" w:hAnsi="仿宋" w:eastAsia="仿宋"/>
          <w:sz w:val="32"/>
          <w:szCs w:val="32"/>
          <w:lang w:eastAsia="zh-CN"/>
        </w:rPr>
        <w:t>组织</w:t>
      </w:r>
      <w:r>
        <w:rPr>
          <w:rFonts w:hint="eastAsia" w:ascii="仿宋" w:hAnsi="仿宋" w:eastAsia="仿宋"/>
          <w:sz w:val="32"/>
          <w:szCs w:val="32"/>
        </w:rPr>
        <w:t>编制网络宣传和涉组涉干涉编舆情监测、引导及应对工作；负责组织编制信息综合工作。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（二十九）统筹负责全县离退休干部工作，负责全县离退休干部的异地安置、管理、服务工作，组织开展健康疗养、参观考察活动，协助各单位做好离退休干部</w:t>
      </w:r>
      <w:r>
        <w:rPr>
          <w:rFonts w:hint="eastAsia" w:ascii="仿宋" w:hAnsi="仿宋" w:eastAsia="仿宋"/>
          <w:sz w:val="32"/>
          <w:szCs w:val="32"/>
          <w:lang w:eastAsia="zh-CN"/>
        </w:rPr>
        <w:t>工作</w:t>
      </w:r>
      <w:r>
        <w:rPr>
          <w:rFonts w:hint="eastAsia" w:ascii="仿宋" w:hAnsi="仿宋" w:eastAsia="仿宋"/>
          <w:sz w:val="32"/>
          <w:szCs w:val="32"/>
        </w:rPr>
        <w:t>处理有关事宜；建立健全离退休干部信息库，负责离退休干部年报统计。组织开展离退休领域党建工作，离退休领域党组织和党员队伍建设，抓好教育监督管理，提出教育引导、管理监督、服务保障离退休干部的意见建议；负责老干部工作人员和离退休领域基层党组织书记、党务工作者的培训工作。</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（三十）负责全县直属机关工委工作，统一组织、规划、部署县直机关党的工作，提出加强和改进县直机关党的建设的意见和建议，研究制定工作规划，并组织实施。</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（三十一）县委组织部统一管理县委编办。</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（三十二）完成县委和县委编委交办的其他任务。</w:t>
      </w:r>
    </w:p>
    <w:p>
      <w:pPr>
        <w:keepNext w:val="0"/>
        <w:keepLines w:val="0"/>
        <w:pageBreakBefore w:val="0"/>
        <w:kinsoku/>
        <w:wordWrap/>
        <w:overflowPunct/>
        <w:topLinePunct w:val="0"/>
        <w:bidi w:val="0"/>
        <w:snapToGrid/>
        <w:spacing w:line="576" w:lineRule="exact"/>
        <w:ind w:firstLine="320" w:firstLineChars="100"/>
        <w:textAlignment w:val="auto"/>
        <w:rPr>
          <w:rFonts w:ascii="黑体" w:hAnsi="黑体" w:eastAsia="黑体"/>
          <w:sz w:val="32"/>
          <w:szCs w:val="32"/>
        </w:rPr>
      </w:pPr>
      <w:r>
        <w:rPr>
          <w:rFonts w:hint="eastAsia" w:ascii="黑体" w:hAnsi="黑体" w:eastAsia="黑体"/>
          <w:sz w:val="32"/>
          <w:szCs w:val="32"/>
        </w:rPr>
        <w:t>二、部门机构设置</w:t>
      </w:r>
      <w:r>
        <w:rPr>
          <w:rFonts w:ascii="黑体" w:hAnsi="黑体" w:eastAsia="黑体"/>
          <w:sz w:val="32"/>
          <w:szCs w:val="32"/>
        </w:rPr>
        <w:t>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中共西藏洛扎县委员会组织部（编办）加挂西藏洛扎县公务员局、中共西藏洛扎县</w:t>
      </w:r>
      <w:r>
        <w:rPr>
          <w:rFonts w:hint="eastAsia" w:ascii="仿宋" w:hAnsi="仿宋" w:eastAsia="仿宋"/>
          <w:sz w:val="32"/>
          <w:szCs w:val="32"/>
          <w:lang w:eastAsia="zh-CN"/>
        </w:rPr>
        <w:t>委</w:t>
      </w:r>
      <w:r>
        <w:rPr>
          <w:rFonts w:hint="eastAsia" w:ascii="仿宋" w:hAnsi="仿宋" w:eastAsia="仿宋"/>
          <w:sz w:val="32"/>
          <w:szCs w:val="32"/>
        </w:rPr>
        <w:t>老干部局、中共西藏洛扎县直属机关工作委员会牌子；下设事业机构1个：洛扎县</w:t>
      </w:r>
      <w:r>
        <w:rPr>
          <w:rFonts w:hint="eastAsia" w:ascii="仿宋" w:hAnsi="仿宋" w:eastAsia="仿宋"/>
          <w:sz w:val="32"/>
          <w:szCs w:val="32"/>
          <w:lang w:eastAsia="zh-CN"/>
        </w:rPr>
        <w:t>委</w:t>
      </w:r>
      <w:r>
        <w:rPr>
          <w:rFonts w:hint="eastAsia" w:ascii="仿宋" w:hAnsi="仿宋" w:eastAsia="仿宋"/>
          <w:sz w:val="32"/>
          <w:szCs w:val="32"/>
        </w:rPr>
        <w:t>机构编制委员会办公室电子政务中心。</w:t>
      </w:r>
    </w:p>
    <w:p>
      <w:pPr>
        <w:keepNext w:val="0"/>
        <w:keepLines w:val="0"/>
        <w:pageBreakBefore w:val="0"/>
        <w:kinsoku/>
        <w:wordWrap/>
        <w:overflowPunct/>
        <w:topLinePunct w:val="0"/>
        <w:bidi w:val="0"/>
        <w:snapToGrid/>
        <w:spacing w:line="576" w:lineRule="exact"/>
        <w:ind w:firstLine="320" w:firstLineChars="100"/>
        <w:textAlignment w:val="auto"/>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r>
        <w:rPr>
          <w:rFonts w:hint="eastAsia" w:ascii="仿宋" w:hAnsi="仿宋" w:eastAsia="仿宋"/>
          <w:sz w:val="32"/>
          <w:szCs w:val="32"/>
        </w:rPr>
        <w:t>中共西藏洛扎县委员会组织部预算。</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spacing w:line="576" w:lineRule="exact"/>
        <w:jc w:val="left"/>
        <w:textAlignment w:val="auto"/>
        <w:rPr>
          <w:rFonts w:ascii="仿宋" w:hAnsi="仿宋" w:eastAsia="仿宋"/>
          <w:sz w:val="32"/>
          <w:szCs w:val="32"/>
        </w:rPr>
      </w:pPr>
      <w:r>
        <w:rPr>
          <w:rFonts w:ascii="仿宋" w:hAnsi="仿宋" w:eastAsia="仿宋"/>
          <w:sz w:val="32"/>
          <w:szCs w:val="32"/>
        </w:rPr>
        <w:br w:type="page"/>
      </w:r>
    </w:p>
    <w:p>
      <w:pPr>
        <w:keepNext w:val="0"/>
        <w:keepLines w:val="0"/>
        <w:pageBreakBefore w:val="0"/>
        <w:kinsoku/>
        <w:wordWrap/>
        <w:overflowPunct/>
        <w:topLinePunct w:val="0"/>
        <w:bidi w:val="0"/>
        <w:snapToGrid/>
        <w:spacing w:line="576" w:lineRule="exact"/>
        <w:ind w:firstLine="800" w:firstLineChars="200"/>
        <w:jc w:val="center"/>
        <w:textAlignment w:val="auto"/>
        <w:rPr>
          <w:rFonts w:ascii="方正小标宋简体" w:hAnsi="仿宋" w:eastAsia="方正小标宋简体"/>
          <w:sz w:val="40"/>
          <w:szCs w:val="32"/>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2026年部门预算表</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2026年部门预算情况说明</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部门预算收支增减变化情况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2026年本部门收入预算2205.32万元，比上年减少360.52万元，减少14.05%，主要原因是：1、2026年组织部</w:t>
      </w:r>
      <w:r>
        <w:rPr>
          <w:rFonts w:ascii="仿宋" w:hAnsi="仿宋" w:eastAsia="仿宋"/>
          <w:sz w:val="32"/>
          <w:szCs w:val="32"/>
        </w:rPr>
        <w:t>离退休党支部活动场所及维修改造项目资金</w:t>
      </w:r>
      <w:r>
        <w:rPr>
          <w:rFonts w:hint="eastAsia" w:ascii="仿宋" w:hAnsi="仿宋" w:eastAsia="仿宋"/>
          <w:sz w:val="32"/>
          <w:szCs w:val="32"/>
        </w:rPr>
        <w:t>。2、党内激励帮扶经费、</w:t>
      </w:r>
      <w:r>
        <w:rPr>
          <w:rFonts w:ascii="仿宋" w:hAnsi="仿宋" w:eastAsia="仿宋"/>
          <w:sz w:val="32"/>
          <w:szCs w:val="32"/>
        </w:rPr>
        <w:t>干部职工住院及患难家属慰问经费</w:t>
      </w:r>
      <w:r>
        <w:rPr>
          <w:rFonts w:hint="eastAsia" w:ascii="仿宋" w:hAnsi="仿宋" w:eastAsia="仿宋"/>
          <w:sz w:val="32"/>
          <w:szCs w:val="32"/>
        </w:rPr>
        <w:t>、</w:t>
      </w:r>
      <w:r>
        <w:rPr>
          <w:rFonts w:ascii="仿宋" w:hAnsi="仿宋" w:eastAsia="仿宋"/>
          <w:sz w:val="32"/>
          <w:szCs w:val="32"/>
        </w:rPr>
        <w:t>主体班次培训经费</w:t>
      </w:r>
      <w:r>
        <w:rPr>
          <w:rFonts w:hint="eastAsia" w:ascii="仿宋" w:hAnsi="仿宋" w:eastAsia="仿宋"/>
          <w:sz w:val="32"/>
          <w:szCs w:val="32"/>
        </w:rPr>
        <w:t>、</w:t>
      </w:r>
      <w:r>
        <w:t>离</w:t>
      </w:r>
      <w:r>
        <w:rPr>
          <w:rFonts w:ascii="仿宋" w:hAnsi="仿宋" w:eastAsia="仿宋"/>
          <w:sz w:val="32"/>
          <w:szCs w:val="32"/>
        </w:rPr>
        <w:t>退休干部疗养经费</w:t>
      </w:r>
      <w:r>
        <w:rPr>
          <w:rFonts w:hint="eastAsia" w:ascii="仿宋" w:hAnsi="仿宋" w:eastAsia="仿宋"/>
          <w:sz w:val="32"/>
          <w:szCs w:val="32"/>
        </w:rPr>
        <w:t>等个别项目类预算数减少。3、</w:t>
      </w:r>
      <w:r>
        <w:rPr>
          <w:rFonts w:ascii="仿宋" w:hAnsi="仿宋" w:eastAsia="仿宋"/>
          <w:sz w:val="32"/>
          <w:szCs w:val="32"/>
        </w:rPr>
        <w:t>乡镇履职事项清单</w:t>
      </w:r>
      <w:r>
        <w:rPr>
          <w:rFonts w:hint="eastAsia" w:ascii="仿宋" w:hAnsi="仿宋" w:eastAsia="仿宋"/>
          <w:sz w:val="32"/>
          <w:szCs w:val="32"/>
        </w:rPr>
        <w:t>经费、</w:t>
      </w:r>
      <w:r>
        <w:rPr>
          <w:rFonts w:ascii="仿宋" w:hAnsi="仿宋" w:eastAsia="仿宋"/>
          <w:sz w:val="32"/>
          <w:szCs w:val="32"/>
        </w:rPr>
        <w:t>公车维修资金</w:t>
      </w:r>
      <w:r>
        <w:rPr>
          <w:rFonts w:hint="eastAsia" w:ascii="仿宋" w:hAnsi="仿宋" w:eastAsia="仿宋"/>
          <w:sz w:val="32"/>
          <w:szCs w:val="32"/>
        </w:rPr>
        <w:t>、</w:t>
      </w:r>
      <w:r>
        <w:rPr>
          <w:rFonts w:ascii="仿宋" w:hAnsi="仿宋" w:eastAsia="仿宋"/>
          <w:sz w:val="32"/>
          <w:szCs w:val="32"/>
        </w:rPr>
        <w:t>老干部返乡考察经费</w:t>
      </w:r>
      <w:r>
        <w:rPr>
          <w:rFonts w:hint="eastAsia" w:ascii="仿宋" w:hAnsi="仿宋" w:eastAsia="仿宋"/>
          <w:sz w:val="32"/>
          <w:szCs w:val="32"/>
        </w:rPr>
        <w:t>、</w:t>
      </w:r>
      <w:r>
        <w:rPr>
          <w:rFonts w:ascii="仿宋" w:hAnsi="仿宋" w:eastAsia="仿宋"/>
          <w:sz w:val="32"/>
          <w:szCs w:val="32"/>
        </w:rPr>
        <w:t>组织部门视频会议系统专线使用费</w:t>
      </w:r>
      <w:r>
        <w:rPr>
          <w:rFonts w:hint="eastAsia" w:ascii="仿宋" w:hAnsi="仿宋" w:eastAsia="仿宋"/>
          <w:sz w:val="32"/>
          <w:szCs w:val="32"/>
        </w:rPr>
        <w:t>以上项目2026年未做预算。</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2026年本部门财政拨款安排“三公”经费17.30万元，比上年减少2.9万元，减少14.36%。</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2026年公用经费45.50万元，主要包括：</w:t>
      </w:r>
      <w:r>
        <w:rPr>
          <w:rFonts w:ascii="仿宋" w:hAnsi="仿宋" w:eastAsia="仿宋"/>
          <w:sz w:val="32"/>
          <w:szCs w:val="32"/>
        </w:rPr>
        <w:t>商品和服务支出</w:t>
      </w:r>
      <w:r>
        <w:rPr>
          <w:rFonts w:hint="eastAsia" w:ascii="仿宋" w:hAnsi="仿宋" w:eastAsia="仿宋"/>
          <w:sz w:val="32"/>
          <w:szCs w:val="32"/>
        </w:rPr>
        <w:t>36.66万元（</w:t>
      </w:r>
      <w:r>
        <w:rPr>
          <w:rFonts w:ascii="仿宋" w:hAnsi="仿宋" w:eastAsia="仿宋"/>
          <w:sz w:val="32"/>
          <w:szCs w:val="32"/>
        </w:rPr>
        <w:t>办公费</w:t>
      </w:r>
      <w:r>
        <w:rPr>
          <w:rFonts w:hint="eastAsia" w:ascii="仿宋" w:hAnsi="仿宋" w:eastAsia="仿宋"/>
          <w:sz w:val="32"/>
          <w:szCs w:val="32"/>
        </w:rPr>
        <w:t>11万元、</w:t>
      </w:r>
      <w:r>
        <w:rPr>
          <w:rFonts w:ascii="仿宋" w:hAnsi="仿宋" w:eastAsia="仿宋"/>
          <w:sz w:val="32"/>
          <w:szCs w:val="32"/>
        </w:rPr>
        <w:t>邮电费</w:t>
      </w:r>
      <w:r>
        <w:rPr>
          <w:rFonts w:hint="eastAsia" w:ascii="仿宋" w:hAnsi="仿宋" w:eastAsia="仿宋"/>
          <w:sz w:val="32"/>
          <w:szCs w:val="32"/>
        </w:rPr>
        <w:t>0.5万元、</w:t>
      </w:r>
      <w:r>
        <w:rPr>
          <w:rFonts w:ascii="仿宋" w:hAnsi="仿宋" w:eastAsia="仿宋"/>
          <w:sz w:val="32"/>
          <w:szCs w:val="32"/>
        </w:rPr>
        <w:t>差旅费</w:t>
      </w:r>
      <w:r>
        <w:rPr>
          <w:rFonts w:hint="eastAsia" w:ascii="仿宋" w:hAnsi="仿宋" w:eastAsia="仿宋"/>
          <w:sz w:val="32"/>
          <w:szCs w:val="32"/>
        </w:rPr>
        <w:t>12.08万元、</w:t>
      </w:r>
      <w:r>
        <w:rPr>
          <w:rFonts w:ascii="仿宋" w:hAnsi="仿宋" w:eastAsia="仿宋"/>
          <w:sz w:val="32"/>
          <w:szCs w:val="32"/>
        </w:rPr>
        <w:t>公务用车运行维护费</w:t>
      </w:r>
      <w:r>
        <w:rPr>
          <w:rFonts w:hint="eastAsia" w:ascii="仿宋" w:hAnsi="仿宋" w:eastAsia="仿宋"/>
          <w:sz w:val="32"/>
          <w:szCs w:val="32"/>
        </w:rPr>
        <w:t>6万元、其他交通费用0.1万元、残疾人就业保障金3.66万元、公务通</w:t>
      </w:r>
      <w:r>
        <w:rPr>
          <w:rFonts w:hint="eastAsia" w:ascii="仿宋" w:hAnsi="仿宋" w:eastAsia="仿宋"/>
          <w:sz w:val="32"/>
          <w:szCs w:val="32"/>
          <w:lang w:eastAsia="zh-CN"/>
        </w:rPr>
        <w:t>信</w:t>
      </w:r>
      <w:r>
        <w:rPr>
          <w:rFonts w:hint="eastAsia" w:ascii="仿宋" w:hAnsi="仿宋" w:eastAsia="仿宋"/>
          <w:sz w:val="32"/>
          <w:szCs w:val="32"/>
        </w:rPr>
        <w:t>补贴0.36万元、</w:t>
      </w:r>
      <w:r>
        <w:rPr>
          <w:rFonts w:ascii="仿宋" w:hAnsi="仿宋" w:eastAsia="仿宋"/>
          <w:sz w:val="32"/>
          <w:szCs w:val="32"/>
        </w:rPr>
        <w:t>其他商品和服务支出</w:t>
      </w:r>
      <w:r>
        <w:rPr>
          <w:rFonts w:hint="eastAsia" w:ascii="仿宋" w:hAnsi="仿宋" w:eastAsia="仿宋"/>
          <w:sz w:val="32"/>
          <w:szCs w:val="32"/>
        </w:rPr>
        <w:t>2.95万元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8.84万元。</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2026年本</w:t>
      </w:r>
      <w:r>
        <w:rPr>
          <w:rFonts w:ascii="仿宋" w:hAnsi="仿宋" w:eastAsia="仿宋"/>
          <w:sz w:val="32"/>
          <w:szCs w:val="32"/>
        </w:rPr>
        <w:t>部门</w:t>
      </w:r>
      <w:r>
        <w:rPr>
          <w:rFonts w:hint="eastAsia" w:ascii="仿宋" w:hAnsi="仿宋" w:eastAsia="仿宋"/>
          <w:sz w:val="32"/>
          <w:szCs w:val="32"/>
        </w:rPr>
        <w:t>暂无政府采购计划。</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截至2026年1月20日，本部门固定资产构成情况为：其他用车</w:t>
      </w:r>
      <w:r>
        <w:rPr>
          <w:rFonts w:hint="eastAsia" w:ascii="仿宋_GB2312" w:hAnsi="Calibri" w:eastAsia="仿宋_GB2312" w:cs="仿宋_GB2312"/>
          <w:kern w:val="0"/>
          <w:sz w:val="32"/>
          <w:szCs w:val="32"/>
        </w:rPr>
        <w:t>1</w:t>
      </w:r>
      <w:r>
        <w:rPr>
          <w:rFonts w:hint="eastAsia" w:ascii="仿宋" w:hAnsi="仿宋" w:eastAsia="仿宋"/>
          <w:sz w:val="32"/>
          <w:szCs w:val="32"/>
        </w:rPr>
        <w:t>辆，其他用车主要是</w:t>
      </w:r>
      <w:r>
        <w:rPr>
          <w:rFonts w:hint="eastAsia" w:ascii="仿宋_GB2312" w:hAnsi="Calibri" w:eastAsia="仿宋_GB2312" w:cs="仿宋_GB2312"/>
          <w:kern w:val="0"/>
          <w:sz w:val="32"/>
          <w:szCs w:val="32"/>
        </w:rPr>
        <w:t>公用</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hAnsi="Calibri" w:eastAsia="仿宋_GB2312" w:cs="仿宋_GB2312"/>
          <w:kern w:val="0"/>
          <w:sz w:val="32"/>
          <w:szCs w:val="32"/>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hAnsi="Calibri" w:eastAsia="仿宋_GB2312" w:cs="仿宋_GB2312"/>
          <w:kern w:val="0"/>
          <w:sz w:val="32"/>
          <w:szCs w:val="32"/>
        </w:rPr>
        <w:t>0</w:t>
      </w:r>
      <w:r>
        <w:rPr>
          <w:rFonts w:hint="eastAsia" w:ascii="仿宋" w:hAnsi="仿宋" w:eastAsia="仿宋"/>
          <w:sz w:val="32"/>
          <w:szCs w:val="32"/>
        </w:rPr>
        <w:t>台（套）。</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2026年，实行绩效目标管理项目40个，资金2205.31万元，实现项目支出绩效目标管理全覆盖。</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七、其他需要说明的情况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无债务情况。</w:t>
      </w:r>
    </w:p>
    <w:p>
      <w:pPr>
        <w:keepNext w:val="0"/>
        <w:keepLines w:val="0"/>
        <w:pageBreakBefore w:val="0"/>
        <w:widowControl/>
        <w:kinsoku/>
        <w:wordWrap/>
        <w:overflowPunct/>
        <w:topLinePunct w:val="0"/>
        <w:bidi w:val="0"/>
        <w:snapToGrid/>
        <w:spacing w:line="576" w:lineRule="exact"/>
        <w:jc w:val="center"/>
        <w:textAlignment w:val="auto"/>
        <w:rPr>
          <w:rFonts w:ascii="方正小标宋简体" w:hAnsi="仿宋" w:eastAsia="方正小标宋简体"/>
          <w:sz w:val="32"/>
          <w:szCs w:val="32"/>
        </w:rPr>
      </w:pPr>
      <w:r>
        <w:rPr>
          <w:rFonts w:ascii="方正小标宋简体" w:hAnsi="仿宋" w:eastAsia="方正小标宋简体"/>
          <w:sz w:val="32"/>
          <w:szCs w:val="32"/>
        </w:rPr>
        <w:br w:type="page"/>
      </w:r>
      <w:r>
        <w:rPr>
          <w:rFonts w:hint="eastAsia" w:ascii="方正小标宋简体" w:hAnsi="仿宋" w:eastAsia="方正小标宋简体"/>
          <w:sz w:val="40"/>
          <w:szCs w:val="32"/>
        </w:rPr>
        <w:t>第四部分  名词解释</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bookmarkEnd w:id="0"/>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- 14 -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373D"/>
    <w:rsid w:val="00025C9A"/>
    <w:rsid w:val="000336AD"/>
    <w:rsid w:val="00033DA0"/>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638"/>
    <w:rsid w:val="000A7A82"/>
    <w:rsid w:val="000B07BA"/>
    <w:rsid w:val="000D1A92"/>
    <w:rsid w:val="000D214F"/>
    <w:rsid w:val="000E0307"/>
    <w:rsid w:val="000E239A"/>
    <w:rsid w:val="000E347B"/>
    <w:rsid w:val="000F0C56"/>
    <w:rsid w:val="000F293F"/>
    <w:rsid w:val="000F6C1E"/>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6E5"/>
    <w:rsid w:val="00241BD2"/>
    <w:rsid w:val="00245677"/>
    <w:rsid w:val="00255CD4"/>
    <w:rsid w:val="00266E39"/>
    <w:rsid w:val="002671DE"/>
    <w:rsid w:val="00275772"/>
    <w:rsid w:val="002812C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A6E87"/>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163D"/>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00C"/>
    <w:rsid w:val="00504EA1"/>
    <w:rsid w:val="005072BE"/>
    <w:rsid w:val="00507806"/>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D612E"/>
    <w:rsid w:val="005E07EF"/>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0C0"/>
    <w:rsid w:val="0066211D"/>
    <w:rsid w:val="0066339D"/>
    <w:rsid w:val="0066445E"/>
    <w:rsid w:val="006660BB"/>
    <w:rsid w:val="0067255B"/>
    <w:rsid w:val="00675F5F"/>
    <w:rsid w:val="006844C0"/>
    <w:rsid w:val="006846B3"/>
    <w:rsid w:val="00685356"/>
    <w:rsid w:val="00696AF3"/>
    <w:rsid w:val="006A19A9"/>
    <w:rsid w:val="006A375F"/>
    <w:rsid w:val="006A402F"/>
    <w:rsid w:val="006A497D"/>
    <w:rsid w:val="006B047E"/>
    <w:rsid w:val="006B41A1"/>
    <w:rsid w:val="006C0E7C"/>
    <w:rsid w:val="006C1BD6"/>
    <w:rsid w:val="006C2088"/>
    <w:rsid w:val="006C4305"/>
    <w:rsid w:val="006C64DD"/>
    <w:rsid w:val="006D5592"/>
    <w:rsid w:val="006D7FC0"/>
    <w:rsid w:val="006E0352"/>
    <w:rsid w:val="006E11A0"/>
    <w:rsid w:val="006F3C47"/>
    <w:rsid w:val="00700592"/>
    <w:rsid w:val="00707775"/>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D5966"/>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0D32"/>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1E85"/>
    <w:rsid w:val="00924F3A"/>
    <w:rsid w:val="00931F10"/>
    <w:rsid w:val="009323D6"/>
    <w:rsid w:val="0093637E"/>
    <w:rsid w:val="009372DD"/>
    <w:rsid w:val="00940DA3"/>
    <w:rsid w:val="00941729"/>
    <w:rsid w:val="0095324A"/>
    <w:rsid w:val="00953C23"/>
    <w:rsid w:val="00956331"/>
    <w:rsid w:val="00956F40"/>
    <w:rsid w:val="0096127B"/>
    <w:rsid w:val="009704B9"/>
    <w:rsid w:val="00971B05"/>
    <w:rsid w:val="009721A1"/>
    <w:rsid w:val="00972AE4"/>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E4706"/>
    <w:rsid w:val="009F12D1"/>
    <w:rsid w:val="009F4C6D"/>
    <w:rsid w:val="009F6845"/>
    <w:rsid w:val="00A00B26"/>
    <w:rsid w:val="00A02382"/>
    <w:rsid w:val="00A03120"/>
    <w:rsid w:val="00A0335C"/>
    <w:rsid w:val="00A04D9D"/>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50B8"/>
    <w:rsid w:val="00A666BA"/>
    <w:rsid w:val="00A75D11"/>
    <w:rsid w:val="00A7760E"/>
    <w:rsid w:val="00A81865"/>
    <w:rsid w:val="00A825B5"/>
    <w:rsid w:val="00A83879"/>
    <w:rsid w:val="00A83B1B"/>
    <w:rsid w:val="00A84180"/>
    <w:rsid w:val="00A94929"/>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1F9F"/>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31B4"/>
    <w:rsid w:val="00C57B85"/>
    <w:rsid w:val="00C62E71"/>
    <w:rsid w:val="00C63BEE"/>
    <w:rsid w:val="00C734C4"/>
    <w:rsid w:val="00C74826"/>
    <w:rsid w:val="00C74890"/>
    <w:rsid w:val="00C75DD0"/>
    <w:rsid w:val="00C76A23"/>
    <w:rsid w:val="00C77CA6"/>
    <w:rsid w:val="00C8402A"/>
    <w:rsid w:val="00C84A3C"/>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D7C2E"/>
    <w:rsid w:val="00EE0A42"/>
    <w:rsid w:val="00EE2E57"/>
    <w:rsid w:val="00EE60F2"/>
    <w:rsid w:val="00EE6B3E"/>
    <w:rsid w:val="00EF12C4"/>
    <w:rsid w:val="00EF2B03"/>
    <w:rsid w:val="00EF744C"/>
    <w:rsid w:val="00F00FDB"/>
    <w:rsid w:val="00F0488D"/>
    <w:rsid w:val="00F05061"/>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57B"/>
    <w:rsid w:val="00F77EB8"/>
    <w:rsid w:val="00F819B1"/>
    <w:rsid w:val="00F93FA5"/>
    <w:rsid w:val="00F96845"/>
    <w:rsid w:val="00FA224C"/>
    <w:rsid w:val="00FC1DB5"/>
    <w:rsid w:val="00FC243C"/>
    <w:rsid w:val="00FC671F"/>
    <w:rsid w:val="00FD293B"/>
    <w:rsid w:val="00FE5692"/>
    <w:rsid w:val="00FE7FA4"/>
    <w:rsid w:val="00FF19E9"/>
    <w:rsid w:val="00FF5207"/>
    <w:rsid w:val="00FF5AF7"/>
    <w:rsid w:val="4DEF190A"/>
    <w:rsid w:val="7C65A498"/>
    <w:rsid w:val="7FE70918"/>
    <w:rsid w:val="F2FF60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759</Words>
  <Characters>4328</Characters>
  <Lines>36</Lines>
  <Paragraphs>10</Paragraphs>
  <TotalTime>3</TotalTime>
  <ScaleCrop>false</ScaleCrop>
  <LinksUpToDate>false</LinksUpToDate>
  <CharactersWithSpaces>5077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2025-04-11T18:29:00Z</dcterms:created>
  <dc:creator>CN=预算处/OU=预算处/OU=西藏自治区财政厅/O=TIBET</dc:creator>
  <cp:lastModifiedBy>妮妮</cp:lastModifiedBy>
  <cp:lastPrinted>2021-01-28T19:28:00Z</cp:lastPrinted>
  <dcterms:modified xsi:type="dcterms:W3CDTF">2026-04-10T11:11:15Z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