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880" w:firstLineChars="200"/>
        <w:jc w:val="both"/>
        <w:textAlignment w:val="auto"/>
        <w:rPr>
          <w:rFonts w:ascii="方正小标宋简体" w:hAnsi="仿宋" w:eastAsia="方正小标宋简体"/>
          <w:color w:val="auto"/>
          <w:sz w:val="44"/>
          <w:szCs w:val="44"/>
          <w:highlight w:val="none"/>
        </w:rPr>
      </w:pPr>
      <w:r>
        <w:rPr>
          <w:rFonts w:hint="eastAsia" w:ascii="方正小标宋简体" w:hAnsi="仿宋" w:eastAsia="方正小标宋简体"/>
          <w:color w:val="auto"/>
          <w:sz w:val="44"/>
          <w:szCs w:val="44"/>
          <w:highlight w:val="none"/>
          <w:lang w:val="en-US" w:eastAsia="zh-CN"/>
        </w:rPr>
        <w:t>洛扎县纪委监委</w:t>
      </w:r>
      <w:r>
        <w:rPr>
          <w:rFonts w:hint="eastAsia" w:ascii="方正小标宋简体" w:hAnsi="仿宋" w:eastAsia="方正小标宋简体"/>
          <w:color w:val="auto"/>
          <w:sz w:val="44"/>
          <w:szCs w:val="44"/>
          <w:highlight w:val="none"/>
          <w:lang w:eastAsia="zh-CN"/>
        </w:rPr>
        <w:t>2026</w:t>
      </w:r>
      <w:r>
        <w:rPr>
          <w:rFonts w:hint="eastAsia" w:ascii="方正小标宋简体" w:hAnsi="仿宋" w:eastAsia="方正小标宋简体"/>
          <w:color w:val="auto"/>
          <w:sz w:val="44"/>
          <w:szCs w:val="44"/>
          <w:highlight w:val="none"/>
        </w:rPr>
        <w:t>年度部门预算</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pStyle w:val="2"/>
        <w:keepNext w:val="0"/>
        <w:keepLines w:val="0"/>
        <w:pageBreakBefore w:val="0"/>
        <w:kinsoku/>
        <w:overflowPunct/>
        <w:topLinePunct w:val="0"/>
        <w:bidi w:val="0"/>
        <w:snapToGrid/>
        <w:spacing w:line="576" w:lineRule="exact"/>
        <w:textAlignment w:val="auto"/>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2026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日</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jc w:val="both"/>
        <w:textAlignment w:val="auto"/>
        <w:rPr>
          <w:rFonts w:hint="eastAsia" w:ascii="方正小标宋简体" w:hAnsi="仿宋" w:eastAsia="方正小标宋简体"/>
          <w:color w:val="auto"/>
          <w:sz w:val="44"/>
          <w:szCs w:val="44"/>
          <w:highlight w:val="none"/>
        </w:rPr>
      </w:pPr>
    </w:p>
    <w:p>
      <w:pPr>
        <w:keepNext w:val="0"/>
        <w:keepLines w:val="0"/>
        <w:pageBreakBefore w:val="0"/>
        <w:kinsoku/>
        <w:wordWrap/>
        <w:overflowPunct/>
        <w:topLinePunct w:val="0"/>
        <w:bidi w:val="0"/>
        <w:snapToGrid/>
        <w:spacing w:line="576" w:lineRule="exact"/>
        <w:ind w:firstLine="880" w:firstLineChars="200"/>
        <w:jc w:val="center"/>
        <w:textAlignment w:val="auto"/>
        <w:rPr>
          <w:rFonts w:ascii="方正小标宋简体" w:hAnsi="仿宋" w:eastAsia="方正小标宋简体"/>
          <w:color w:val="auto"/>
          <w:sz w:val="44"/>
          <w:szCs w:val="44"/>
          <w:highlight w:val="none"/>
        </w:rPr>
      </w:pPr>
      <w:r>
        <w:rPr>
          <w:rFonts w:hint="eastAsia" w:ascii="方正小标宋简体" w:hAnsi="仿宋" w:eastAsia="方正小标宋简体"/>
          <w:color w:val="auto"/>
          <w:sz w:val="44"/>
          <w:szCs w:val="44"/>
          <w:highlight w:val="none"/>
        </w:rPr>
        <w:t>目  录</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hint="default" w:ascii="方正小标宋简体" w:hAnsi="仿宋" w:eastAsia="方正小标宋简体"/>
          <w:color w:val="auto"/>
          <w:sz w:val="32"/>
          <w:szCs w:val="32"/>
          <w:highlight w:val="none"/>
          <w:lang w:val="en-US" w:eastAsia="zh-CN"/>
        </w:rPr>
      </w:pPr>
      <w:r>
        <w:rPr>
          <w:rFonts w:hint="eastAsia" w:ascii="方正小标宋简体" w:hAnsi="仿宋" w:eastAsia="方正小标宋简体"/>
          <w:color w:val="auto"/>
          <w:sz w:val="32"/>
          <w:szCs w:val="32"/>
          <w:highlight w:val="none"/>
        </w:rPr>
        <w:t xml:space="preserve">第一部分  </w:t>
      </w:r>
      <w:r>
        <w:rPr>
          <w:rFonts w:hint="eastAsia" w:ascii="方正小标宋简体" w:hAnsi="仿宋" w:eastAsia="方正小标宋简体"/>
          <w:color w:val="auto"/>
          <w:sz w:val="32"/>
          <w:szCs w:val="32"/>
          <w:highlight w:val="none"/>
          <w:lang w:val="en-US" w:eastAsia="zh-CN"/>
        </w:rPr>
        <w:t>洛扎县纪委监委概况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一、主要职能</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二、部门预算单位构成</w:t>
      </w:r>
    </w:p>
    <w:p>
      <w:pPr>
        <w:keepNext w:val="0"/>
        <w:keepLines w:val="0"/>
        <w:pageBreakBefore w:val="0"/>
        <w:kinsoku/>
        <w:wordWrap/>
        <w:overflowPunct/>
        <w:topLinePunct w:val="0"/>
        <w:bidi w:val="0"/>
        <w:snapToGrid/>
        <w:spacing w:line="576" w:lineRule="exact"/>
        <w:ind w:firstLine="640" w:firstLineChars="200"/>
        <w:textAlignment w:val="auto"/>
        <w:rPr>
          <w:rFonts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 xml:space="preserve">第二部分  </w:t>
      </w:r>
      <w:r>
        <w:rPr>
          <w:rFonts w:hint="eastAsia" w:ascii="方正小标宋简体" w:hAnsi="仿宋" w:eastAsia="方正小标宋简体"/>
          <w:color w:val="auto"/>
          <w:sz w:val="32"/>
          <w:szCs w:val="32"/>
          <w:highlight w:val="none"/>
          <w:lang w:val="en-US" w:eastAsia="zh-CN"/>
        </w:rPr>
        <w:t>洛扎县纪委监委</w:t>
      </w:r>
      <w:r>
        <w:rPr>
          <w:rFonts w:hint="eastAsia" w:ascii="方正小标宋简体" w:hAnsi="仿宋" w:eastAsia="方正小标宋简体"/>
          <w:color w:val="auto"/>
          <w:sz w:val="32"/>
          <w:szCs w:val="32"/>
          <w:highlight w:val="none"/>
        </w:rPr>
        <w:t>202</w:t>
      </w:r>
      <w:r>
        <w:rPr>
          <w:rFonts w:hint="eastAsia" w:ascii="方正小标宋简体" w:hAnsi="仿宋" w:eastAsia="方正小标宋简体"/>
          <w:color w:val="auto"/>
          <w:sz w:val="32"/>
          <w:szCs w:val="32"/>
          <w:highlight w:val="none"/>
          <w:lang w:val="en-US" w:eastAsia="zh-CN"/>
        </w:rPr>
        <w:t>6</w:t>
      </w:r>
      <w:r>
        <w:rPr>
          <w:rFonts w:hint="eastAsia" w:ascii="方正小标宋简体" w:hAnsi="仿宋" w:eastAsia="方正小标宋简体"/>
          <w:color w:val="auto"/>
          <w:sz w:val="32"/>
          <w:szCs w:val="32"/>
          <w:highlight w:val="none"/>
        </w:rPr>
        <w:t>年度部门预算明细表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一、部门收支总体情况表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二、部门收入总体情况表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三、部门支出总体情况表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四、财政拨款收支总体情况表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五、一般公共预算支出情况表（按功能分类科目）</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六、一般公共预算基本支出情况表（按经济分类款级科目）</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七、一般公共预算“三公”经费支出情况表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八、政府性基金“三公”经费支出情况表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九、政府性基金预算支出情况表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十</w:t>
      </w:r>
      <w:r>
        <w:rPr>
          <w:rFonts w:ascii="黑体" w:hAnsi="黑体" w:eastAsia="黑体"/>
          <w:color w:val="auto"/>
          <w:sz w:val="32"/>
          <w:szCs w:val="32"/>
          <w:highlight w:val="none"/>
        </w:rPr>
        <w:t>、</w:t>
      </w:r>
      <w:r>
        <w:rPr>
          <w:rFonts w:hint="eastAsia" w:ascii="黑体" w:hAnsi="黑体" w:eastAsia="黑体"/>
          <w:color w:val="auto"/>
          <w:sz w:val="32"/>
          <w:szCs w:val="32"/>
          <w:highlight w:val="none"/>
        </w:rPr>
        <w:t>政府购买服务预算表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十一、项目支出绩效表</w:t>
      </w:r>
    </w:p>
    <w:p>
      <w:pPr>
        <w:keepNext w:val="0"/>
        <w:keepLines w:val="0"/>
        <w:pageBreakBefore w:val="0"/>
        <w:kinsoku/>
        <w:wordWrap/>
        <w:overflowPunct/>
        <w:topLinePunct w:val="0"/>
        <w:bidi w:val="0"/>
        <w:snapToGrid/>
        <w:spacing w:line="576" w:lineRule="exact"/>
        <w:ind w:firstLine="640" w:firstLineChars="200"/>
        <w:textAlignment w:val="auto"/>
        <w:rPr>
          <w:rFonts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 xml:space="preserve">第三部分  </w:t>
      </w:r>
      <w:r>
        <w:rPr>
          <w:rFonts w:hint="eastAsia" w:ascii="方正小标宋简体" w:hAnsi="仿宋" w:eastAsia="方正小标宋简体"/>
          <w:color w:val="auto"/>
          <w:sz w:val="32"/>
          <w:szCs w:val="32"/>
          <w:highlight w:val="none"/>
          <w:lang w:val="en-US" w:eastAsia="zh-CN"/>
        </w:rPr>
        <w:t>洛扎县纪委监委</w:t>
      </w:r>
      <w:r>
        <w:rPr>
          <w:rFonts w:hint="eastAsia" w:ascii="方正小标宋简体" w:hAnsi="仿宋" w:eastAsia="方正小标宋简体"/>
          <w:color w:val="auto"/>
          <w:sz w:val="32"/>
          <w:szCs w:val="32"/>
          <w:highlight w:val="none"/>
          <w:lang w:eastAsia="zh-CN"/>
        </w:rPr>
        <w:t>2026</w:t>
      </w:r>
      <w:r>
        <w:rPr>
          <w:rFonts w:hint="eastAsia" w:ascii="方正小标宋简体" w:hAnsi="仿宋" w:eastAsia="方正小标宋简体"/>
          <w:color w:val="auto"/>
          <w:sz w:val="32"/>
          <w:szCs w:val="32"/>
          <w:highlight w:val="none"/>
        </w:rPr>
        <w:t>年度部门预算数据分析</w:t>
      </w:r>
    </w:p>
    <w:p>
      <w:pPr>
        <w:keepNext w:val="0"/>
        <w:keepLines w:val="0"/>
        <w:pageBreakBefore w:val="0"/>
        <w:kinsoku/>
        <w:wordWrap/>
        <w:overflowPunct/>
        <w:topLinePunct w:val="0"/>
        <w:bidi w:val="0"/>
        <w:snapToGrid/>
        <w:spacing w:line="576" w:lineRule="exact"/>
        <w:ind w:firstLine="640" w:firstLineChars="200"/>
        <w:textAlignment w:val="auto"/>
        <w:rPr>
          <w:rFonts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第四部分  名词解释</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jc w:val="center"/>
        <w:textAlignment w:val="auto"/>
        <w:rPr>
          <w:rFonts w:hint="eastAsia" w:ascii="方正小标宋简体" w:hAnsi="仿宋" w:eastAsia="方正小标宋简体"/>
          <w:color w:val="auto"/>
          <w:sz w:val="32"/>
          <w:szCs w:val="32"/>
          <w:highlight w:val="none"/>
        </w:rPr>
      </w:pP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第一部分</w:t>
      </w:r>
    </w:p>
    <w:p>
      <w:pPr>
        <w:keepNext w:val="0"/>
        <w:keepLines w:val="0"/>
        <w:pageBreakBefore w:val="0"/>
        <w:kinsoku/>
        <w:wordWrap/>
        <w:overflowPunct/>
        <w:topLinePunct w:val="0"/>
        <w:bidi w:val="0"/>
        <w:snapToGrid/>
        <w:spacing w:line="576" w:lineRule="exact"/>
        <w:ind w:firstLine="640" w:firstLineChars="200"/>
        <w:jc w:val="center"/>
        <w:textAlignment w:val="auto"/>
        <w:rPr>
          <w:rFonts w:ascii="仿宋" w:hAnsi="仿宋" w:eastAsia="仿宋"/>
          <w:color w:val="auto"/>
          <w:sz w:val="32"/>
          <w:szCs w:val="32"/>
          <w:highlight w:val="none"/>
        </w:rPr>
      </w:pPr>
      <w:r>
        <w:rPr>
          <w:rFonts w:hint="eastAsia" w:ascii="方正小标宋简体" w:hAnsi="仿宋" w:eastAsia="方正小标宋简体"/>
          <w:color w:val="auto"/>
          <w:sz w:val="32"/>
          <w:szCs w:val="32"/>
          <w:highlight w:val="none"/>
          <w:lang w:val="en-US" w:eastAsia="zh-CN"/>
        </w:rPr>
        <w:t>洛扎县纪委监委</w:t>
      </w:r>
      <w:r>
        <w:rPr>
          <w:rFonts w:hint="eastAsia" w:ascii="方正小标宋简体" w:hAnsi="仿宋" w:eastAsia="方正小标宋简体"/>
          <w:color w:val="auto"/>
          <w:sz w:val="32"/>
          <w:szCs w:val="32"/>
          <w:highlight w:val="none"/>
        </w:rPr>
        <w:t>概况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一、主要</w:t>
      </w:r>
      <w:r>
        <w:rPr>
          <w:rFonts w:hint="eastAsia" w:ascii="黑体" w:hAnsi="黑体" w:eastAsia="黑体"/>
          <w:color w:val="auto"/>
          <w:sz w:val="32"/>
          <w:szCs w:val="32"/>
          <w:highlight w:val="none"/>
          <w:lang w:val="en-US" w:eastAsia="zh-CN"/>
        </w:rPr>
        <w:t>职责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kern w:val="0"/>
          <w:sz w:val="32"/>
          <w:szCs w:val="32"/>
          <w:lang w:val="en-US" w:eastAsia="zh-CN" w:bidi="ar"/>
        </w:rPr>
        <w:t>（一）主要职能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Style w:val="9"/>
          <w:rFonts w:hint="eastAsia" w:ascii="仿宋_GB2312" w:hAnsi="仿宋_GB2312" w:eastAsia="仿宋_GB2312" w:cs="仿宋_GB2312"/>
          <w:kern w:val="0"/>
          <w:sz w:val="32"/>
          <w:szCs w:val="32"/>
          <w:lang w:val="en-US" w:eastAsia="zh-CN" w:bidi="ar"/>
        </w:rPr>
      </w:pPr>
      <w:r>
        <w:rPr>
          <w:rStyle w:val="9"/>
          <w:rFonts w:hint="eastAsia" w:ascii="仿宋_GB2312" w:hAnsi="仿宋_GB2312" w:eastAsia="仿宋_GB2312" w:cs="仿宋_GB2312"/>
          <w:kern w:val="0"/>
          <w:sz w:val="32"/>
          <w:szCs w:val="32"/>
          <w:lang w:val="en-US" w:eastAsia="zh-CN" w:bidi="ar"/>
        </w:rPr>
        <w:t>1.主要职能（本级）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9"/>
          <w:rFonts w:hint="eastAsia" w:ascii="仿宋_GB2312" w:hAnsi="仿宋_GB2312" w:eastAsia="仿宋_GB2312" w:cs="仿宋_GB2312"/>
          <w:b w:val="0"/>
          <w:bCs/>
          <w:kern w:val="0"/>
          <w:sz w:val="32"/>
          <w:szCs w:val="32"/>
          <w:lang w:val="en-US" w:eastAsia="zh-CN" w:bidi="ar"/>
        </w:rPr>
      </w:pPr>
      <w:r>
        <w:rPr>
          <w:rStyle w:val="9"/>
          <w:rFonts w:hint="eastAsia" w:ascii="仿宋_GB2312" w:hAnsi="仿宋_GB2312" w:eastAsia="仿宋_GB2312" w:cs="仿宋_GB2312"/>
          <w:b w:val="0"/>
          <w:bCs/>
          <w:kern w:val="0"/>
          <w:sz w:val="32"/>
          <w:szCs w:val="32"/>
          <w:lang w:val="en-US" w:eastAsia="zh-CN" w:bidi="ar"/>
        </w:rPr>
        <w:t>（1）中共洛扎县纪律检查委员会按照党章和其他党内法规履行监督、执纪、问责职责：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9"/>
          <w:rFonts w:hint="eastAsia" w:ascii="仿宋_GB2312" w:hAnsi="仿宋_GB2312" w:eastAsia="仿宋_GB2312" w:cs="仿宋_GB2312"/>
          <w:b w:val="0"/>
          <w:bCs/>
          <w:kern w:val="0"/>
          <w:sz w:val="32"/>
          <w:szCs w:val="32"/>
          <w:lang w:val="en-US" w:eastAsia="zh-CN" w:bidi="ar"/>
        </w:rPr>
      </w:pPr>
      <w:r>
        <w:rPr>
          <w:rStyle w:val="9"/>
          <w:rFonts w:hint="eastAsia" w:ascii="仿宋_GB2312" w:hAnsi="仿宋_GB2312" w:eastAsia="仿宋_GB2312" w:cs="仿宋_GB2312"/>
          <w:b w:val="0"/>
          <w:bCs/>
          <w:kern w:val="0"/>
          <w:sz w:val="32"/>
          <w:szCs w:val="32"/>
          <w:lang w:val="en-US" w:eastAsia="zh-CN" w:bidi="ar"/>
        </w:rPr>
        <w:t>主要任务是：维护党的章程和其他党内法规，检查党的路线、方针、政策和决议的执行情况，协助党的委员会推进全面从严治党、加强党风建设和组织协调反腐败工作。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9"/>
          <w:rFonts w:hint="eastAsia" w:ascii="仿宋_GB2312" w:hAnsi="仿宋_GB2312" w:eastAsia="仿宋_GB2312" w:cs="仿宋_GB2312"/>
          <w:b w:val="0"/>
          <w:bCs/>
          <w:kern w:val="0"/>
          <w:sz w:val="32"/>
          <w:szCs w:val="32"/>
          <w:lang w:val="en-US" w:eastAsia="zh-CN" w:bidi="ar"/>
        </w:rPr>
      </w:pPr>
      <w:r>
        <w:rPr>
          <w:rStyle w:val="9"/>
          <w:rFonts w:hint="eastAsia" w:ascii="仿宋_GB2312" w:hAnsi="仿宋_GB2312" w:eastAsia="仿宋_GB2312" w:cs="仿宋_GB2312"/>
          <w:b w:val="0"/>
          <w:bCs/>
          <w:kern w:val="0"/>
          <w:sz w:val="32"/>
          <w:szCs w:val="32"/>
          <w:lang w:val="en-US" w:eastAsia="zh-CN" w:bidi="ar"/>
        </w:rPr>
        <w:t>主要职责是：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Style w:val="9"/>
          <w:rFonts w:hint="eastAsia" w:ascii="仿宋_GB2312" w:hAnsi="仿宋_GB2312" w:eastAsia="仿宋_GB2312" w:cs="仿宋_GB2312"/>
          <w:b w:val="0"/>
          <w:bCs/>
          <w:kern w:val="0"/>
          <w:sz w:val="32"/>
          <w:szCs w:val="32"/>
          <w:lang w:val="en-US" w:eastAsia="zh-CN" w:bidi="ar"/>
        </w:rPr>
      </w:pPr>
      <w:r>
        <w:rPr>
          <w:rStyle w:val="9"/>
          <w:rFonts w:hint="eastAsia" w:ascii="仿宋_GB2312" w:hAnsi="仿宋_GB2312" w:eastAsia="仿宋_GB2312" w:cs="仿宋_GB2312"/>
          <w:b w:val="0"/>
          <w:bCs/>
          <w:kern w:val="0"/>
          <w:sz w:val="32"/>
          <w:szCs w:val="32"/>
          <w:lang w:val="en-US" w:eastAsia="zh-CN" w:bidi="ar"/>
        </w:rPr>
        <w:t>（2）洛扎县监察委员会依照宪法和监察法履行监督、调查、处置职责：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Style w:val="9"/>
          <w:rFonts w:hint="eastAsia" w:ascii="仿宋_GB2312" w:hAnsi="仿宋_GB2312" w:eastAsia="仿宋_GB2312" w:cs="仿宋_GB2312"/>
          <w:b w:val="0"/>
          <w:bCs/>
          <w:kern w:val="0"/>
          <w:sz w:val="32"/>
          <w:szCs w:val="32"/>
          <w:lang w:val="en-US" w:eastAsia="zh-CN" w:bidi="ar"/>
        </w:rPr>
      </w:pPr>
      <w:r>
        <w:rPr>
          <w:rStyle w:val="9"/>
          <w:rFonts w:hint="eastAsia" w:ascii="仿宋_GB2312" w:hAnsi="仿宋_GB2312" w:eastAsia="仿宋_GB2312" w:cs="仿宋_GB2312"/>
          <w:b w:val="0"/>
          <w:bCs/>
          <w:kern w:val="0"/>
          <w:sz w:val="32"/>
          <w:szCs w:val="32"/>
          <w:lang w:val="en-US" w:eastAsia="zh-CN" w:bidi="ar"/>
        </w:rPr>
        <w:t>一是对公职人员开展廉政教育，对其依法履职、秉公用权、廉洁从政从业以及道德操守情况进行监督检查；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Style w:val="9"/>
          <w:rFonts w:hint="eastAsia" w:ascii="仿宋_GB2312" w:hAnsi="仿宋_GB2312" w:eastAsia="仿宋_GB2312" w:cs="仿宋_GB2312"/>
          <w:b w:val="0"/>
          <w:bCs/>
          <w:kern w:val="0"/>
          <w:sz w:val="32"/>
          <w:szCs w:val="32"/>
          <w:lang w:val="en-US" w:eastAsia="zh-CN" w:bidi="ar"/>
        </w:rPr>
      </w:pPr>
      <w:r>
        <w:rPr>
          <w:rStyle w:val="9"/>
          <w:rFonts w:hint="eastAsia" w:ascii="仿宋_GB2312" w:hAnsi="仿宋_GB2312" w:eastAsia="仿宋_GB2312" w:cs="仿宋_GB2312"/>
          <w:b w:val="0"/>
          <w:bCs/>
          <w:kern w:val="0"/>
          <w:sz w:val="32"/>
          <w:szCs w:val="32"/>
          <w:lang w:val="en-US" w:eastAsia="zh-CN" w:bidi="ar"/>
        </w:rPr>
        <w:t>二是对涉嫌贪污贿赂、滥用职权、玩忽职守、权力寻租、利益输送、徇私舞弊以及浪费国家资财等职务违法和职务犯罪进行调查；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Style w:val="9"/>
          <w:rFonts w:hint="eastAsia" w:ascii="仿宋_GB2312" w:hAnsi="仿宋_GB2312" w:eastAsia="仿宋_GB2312" w:cs="仿宋_GB2312"/>
          <w:b w:val="0"/>
          <w:bCs/>
          <w:kern w:val="0"/>
          <w:sz w:val="32"/>
          <w:szCs w:val="32"/>
          <w:lang w:val="en-US" w:eastAsia="zh-CN" w:bidi="ar"/>
        </w:rPr>
      </w:pPr>
      <w:r>
        <w:rPr>
          <w:rStyle w:val="9"/>
          <w:rFonts w:hint="eastAsia" w:ascii="仿宋_GB2312" w:hAnsi="仿宋_GB2312" w:eastAsia="仿宋_GB2312" w:cs="仿宋_GB2312"/>
          <w:b w:val="0"/>
          <w:bCs/>
          <w:kern w:val="0"/>
          <w:sz w:val="32"/>
          <w:szCs w:val="32"/>
          <w:lang w:val="en-US" w:eastAsia="zh-CN" w:bidi="ar"/>
        </w:rPr>
        <w:t>三是对违法的公职人员依法作出政务处分决定；对履行职责不力、失职失责的领导人员进行问责；对涉嫌职务犯罪的，将调查结果移送人民检察院依法审查、提起公诉；向监察对象所在单位提出监察建议。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rPr>
        <w:t>二、部门预算单位构成</w:t>
      </w:r>
      <w:r>
        <w:rPr>
          <w:rFonts w:hint="eastAsia" w:ascii="黑体" w:hAnsi="黑体" w:eastAsia="黑体"/>
          <w:color w:val="auto"/>
          <w:sz w:val="32"/>
          <w:szCs w:val="32"/>
          <w:highlight w:val="none"/>
          <w:lang w:val="en-US" w:eastAsia="zh-CN"/>
        </w:rPr>
        <w:t>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从预算单位构成看，县纪委监委部门预算包括：本单位预算、下属事业单位纪检监察信息中心预算。</w:t>
      </w:r>
    </w:p>
    <w:p>
      <w:pPr>
        <w:keepNext w:val="0"/>
        <w:keepLines w:val="0"/>
        <w:pageBreakBefore w:val="0"/>
        <w:kinsoku/>
        <w:wordWrap/>
        <w:overflowPunct/>
        <w:topLinePunct w:val="0"/>
        <w:bidi w:val="0"/>
        <w:snapToGrid/>
        <w:spacing w:line="576" w:lineRule="exact"/>
        <w:ind w:firstLine="640" w:firstLineChars="200"/>
        <w:jc w:val="center"/>
        <w:textAlignment w:val="auto"/>
        <w:rPr>
          <w:rFonts w:hint="eastAsia" w:ascii="方正小标宋简体" w:hAnsi="仿宋" w:eastAsia="方正小标宋简体"/>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hint="eastAsia" w:ascii="方正小标宋简体" w:hAnsi="仿宋" w:eastAsia="方正小标宋简体"/>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hint="eastAsia" w:ascii="方正小标宋简体" w:hAnsi="仿宋" w:eastAsia="方正小标宋简体"/>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hint="eastAsia" w:ascii="方正小标宋简体" w:hAnsi="仿宋" w:eastAsia="方正小标宋简体"/>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hint="eastAsia" w:ascii="方正小标宋简体" w:hAnsi="仿宋" w:eastAsia="方正小标宋简体"/>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hint="eastAsia" w:ascii="方正小标宋简体" w:hAnsi="仿宋" w:eastAsia="方正小标宋简体"/>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hint="eastAsia" w:ascii="方正小标宋简体" w:hAnsi="仿宋" w:eastAsia="方正小标宋简体"/>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hint="eastAsia" w:ascii="方正小标宋简体" w:hAnsi="仿宋" w:eastAsia="方正小标宋简体"/>
          <w:color w:val="auto"/>
          <w:sz w:val="32"/>
          <w:szCs w:val="32"/>
          <w:highlight w:val="none"/>
        </w:rPr>
      </w:pPr>
    </w:p>
    <w:p>
      <w:pPr>
        <w:pStyle w:val="2"/>
        <w:keepNext w:val="0"/>
        <w:keepLines w:val="0"/>
        <w:pageBreakBefore w:val="0"/>
        <w:kinsoku/>
        <w:overflowPunct/>
        <w:topLinePunct w:val="0"/>
        <w:bidi w:val="0"/>
        <w:snapToGrid/>
        <w:spacing w:line="576" w:lineRule="exact"/>
        <w:textAlignment w:val="auto"/>
        <w:rPr>
          <w:rFonts w:hint="eastAsia" w:ascii="方正小标宋简体" w:hAnsi="仿宋" w:eastAsia="方正小标宋简体"/>
          <w:color w:val="auto"/>
          <w:sz w:val="32"/>
          <w:szCs w:val="32"/>
          <w:highlight w:val="none"/>
        </w:rPr>
      </w:pPr>
    </w:p>
    <w:p>
      <w:pPr>
        <w:keepNext w:val="0"/>
        <w:keepLines w:val="0"/>
        <w:pageBreakBefore w:val="0"/>
        <w:kinsoku/>
        <w:overflowPunct/>
        <w:topLinePunct w:val="0"/>
        <w:bidi w:val="0"/>
        <w:snapToGrid/>
        <w:spacing w:line="576" w:lineRule="exact"/>
        <w:textAlignment w:val="auto"/>
        <w:rPr>
          <w:rFonts w:hint="eastAsia" w:ascii="方正小标宋简体" w:hAnsi="仿宋" w:eastAsia="方正小标宋简体"/>
          <w:color w:val="auto"/>
          <w:sz w:val="32"/>
          <w:szCs w:val="32"/>
          <w:highlight w:val="none"/>
        </w:rPr>
      </w:pPr>
    </w:p>
    <w:p>
      <w:pPr>
        <w:pStyle w:val="2"/>
        <w:keepNext w:val="0"/>
        <w:keepLines w:val="0"/>
        <w:pageBreakBefore w:val="0"/>
        <w:kinsoku/>
        <w:overflowPunct/>
        <w:topLinePunct w:val="0"/>
        <w:bidi w:val="0"/>
        <w:snapToGrid/>
        <w:spacing w:line="576" w:lineRule="exact"/>
        <w:textAlignment w:val="auto"/>
        <w:rPr>
          <w:rFonts w:hint="eastAsia" w:ascii="方正小标宋简体" w:hAnsi="仿宋" w:eastAsia="方正小标宋简体"/>
          <w:color w:val="auto"/>
          <w:sz w:val="32"/>
          <w:szCs w:val="32"/>
          <w:highlight w:val="none"/>
        </w:rPr>
      </w:pPr>
    </w:p>
    <w:p>
      <w:pPr>
        <w:keepNext w:val="0"/>
        <w:keepLines w:val="0"/>
        <w:pageBreakBefore w:val="0"/>
        <w:kinsoku/>
        <w:overflowPunct/>
        <w:topLinePunct w:val="0"/>
        <w:bidi w:val="0"/>
        <w:snapToGrid/>
        <w:spacing w:line="576" w:lineRule="exact"/>
        <w:textAlignment w:val="auto"/>
        <w:rPr>
          <w:rFonts w:hint="eastAsia" w:ascii="方正小标宋简体" w:hAnsi="仿宋" w:eastAsia="方正小标宋简体"/>
          <w:color w:val="auto"/>
          <w:sz w:val="32"/>
          <w:szCs w:val="32"/>
          <w:highlight w:val="none"/>
        </w:rPr>
      </w:pPr>
    </w:p>
    <w:p>
      <w:pPr>
        <w:keepNext w:val="0"/>
        <w:keepLines w:val="0"/>
        <w:pageBreakBefore w:val="0"/>
        <w:kinsoku/>
        <w:wordWrap/>
        <w:overflowPunct/>
        <w:topLinePunct w:val="0"/>
        <w:bidi w:val="0"/>
        <w:snapToGrid/>
        <w:spacing w:line="576" w:lineRule="exact"/>
        <w:jc w:val="both"/>
        <w:textAlignment w:val="auto"/>
        <w:rPr>
          <w:rFonts w:hint="eastAsia" w:ascii="方正小标宋简体" w:hAnsi="仿宋" w:eastAsia="方正小标宋简体"/>
          <w:color w:val="auto"/>
          <w:sz w:val="32"/>
          <w:szCs w:val="32"/>
          <w:highlight w:val="none"/>
        </w:rPr>
      </w:pPr>
    </w:p>
    <w:p>
      <w:pPr>
        <w:pStyle w:val="2"/>
        <w:keepNext w:val="0"/>
        <w:keepLines w:val="0"/>
        <w:pageBreakBefore w:val="0"/>
        <w:kinsoku/>
        <w:overflowPunct/>
        <w:topLinePunct w:val="0"/>
        <w:bidi w:val="0"/>
        <w:snapToGrid/>
        <w:spacing w:line="576" w:lineRule="exact"/>
        <w:textAlignment w:val="auto"/>
        <w:rPr>
          <w:rFonts w:hint="eastAsia" w:ascii="方正小标宋简体" w:hAnsi="仿宋" w:eastAsia="方正小标宋简体"/>
          <w:color w:val="auto"/>
          <w:sz w:val="32"/>
          <w:szCs w:val="32"/>
          <w:highlight w:val="none"/>
        </w:rPr>
      </w:pPr>
    </w:p>
    <w:p>
      <w:pPr>
        <w:keepNext w:val="0"/>
        <w:keepLines w:val="0"/>
        <w:pageBreakBefore w:val="0"/>
        <w:kinsoku/>
        <w:overflowPunct/>
        <w:topLinePunct w:val="0"/>
        <w:bidi w:val="0"/>
        <w:snapToGrid/>
        <w:spacing w:line="576" w:lineRule="exact"/>
        <w:textAlignment w:val="auto"/>
        <w:rPr>
          <w:rFonts w:hint="eastAsia" w:ascii="方正小标宋简体" w:hAnsi="仿宋" w:eastAsia="方正小标宋简体"/>
          <w:color w:val="auto"/>
          <w:sz w:val="32"/>
          <w:szCs w:val="32"/>
          <w:highlight w:val="none"/>
        </w:rPr>
      </w:pPr>
    </w:p>
    <w:p>
      <w:pPr>
        <w:pStyle w:val="2"/>
        <w:keepNext w:val="0"/>
        <w:keepLines w:val="0"/>
        <w:pageBreakBefore w:val="0"/>
        <w:kinsoku/>
        <w:overflowPunct/>
        <w:topLinePunct w:val="0"/>
        <w:bidi w:val="0"/>
        <w:snapToGrid/>
        <w:spacing w:line="576" w:lineRule="exact"/>
        <w:textAlignment w:val="auto"/>
        <w:rPr>
          <w:rFonts w:hint="eastAsia" w:ascii="方正小标宋简体" w:hAnsi="仿宋" w:eastAsia="方正小标宋简体"/>
          <w:color w:val="auto"/>
          <w:sz w:val="32"/>
          <w:szCs w:val="32"/>
          <w:highlight w:val="none"/>
        </w:rPr>
      </w:pPr>
    </w:p>
    <w:p>
      <w:pPr>
        <w:keepNext w:val="0"/>
        <w:keepLines w:val="0"/>
        <w:pageBreakBefore w:val="0"/>
        <w:kinsoku/>
        <w:overflowPunct/>
        <w:topLinePunct w:val="0"/>
        <w:bidi w:val="0"/>
        <w:snapToGrid/>
        <w:spacing w:line="576" w:lineRule="exact"/>
        <w:textAlignment w:val="auto"/>
        <w:rPr>
          <w:rFonts w:hint="eastAsia"/>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第二部分</w:t>
      </w:r>
    </w:p>
    <w:p>
      <w:pPr>
        <w:keepNext w:val="0"/>
        <w:keepLines w:val="0"/>
        <w:pageBreakBefore w:val="0"/>
        <w:kinsoku/>
        <w:wordWrap/>
        <w:overflowPunct/>
        <w:topLinePunct w:val="0"/>
        <w:bidi w:val="0"/>
        <w:snapToGrid/>
        <w:spacing w:line="576" w:lineRule="exact"/>
        <w:ind w:firstLine="640" w:firstLineChars="200"/>
        <w:jc w:val="center"/>
        <w:textAlignment w:val="auto"/>
        <w:rPr>
          <w:rFonts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lang w:val="en-US" w:eastAsia="zh-CN"/>
        </w:rPr>
        <w:t>洛扎县纪委监委</w:t>
      </w:r>
      <w:r>
        <w:rPr>
          <w:rFonts w:hint="eastAsia" w:ascii="方正小标宋简体" w:hAnsi="仿宋" w:eastAsia="方正小标宋简体"/>
          <w:color w:val="auto"/>
          <w:sz w:val="32"/>
          <w:szCs w:val="32"/>
          <w:highlight w:val="none"/>
          <w:lang w:eastAsia="zh-CN"/>
        </w:rPr>
        <w:t>2026</w:t>
      </w:r>
      <w:r>
        <w:rPr>
          <w:rFonts w:hint="eastAsia" w:ascii="方正小标宋简体" w:hAnsi="仿宋" w:eastAsia="方正小标宋简体"/>
          <w:color w:val="auto"/>
          <w:sz w:val="32"/>
          <w:szCs w:val="32"/>
          <w:highlight w:val="none"/>
        </w:rPr>
        <w:t>年度预算明细表</w:t>
      </w:r>
    </w:p>
    <w:p>
      <w:pPr>
        <w:keepNext w:val="0"/>
        <w:keepLines w:val="0"/>
        <w:pageBreakBefore w:val="0"/>
        <w:kinsoku/>
        <w:wordWrap/>
        <w:overflowPunct/>
        <w:topLinePunct w:val="0"/>
        <w:bidi w:val="0"/>
        <w:snapToGrid/>
        <w:spacing w:line="576" w:lineRule="exact"/>
        <w:ind w:firstLine="640" w:firstLineChars="200"/>
        <w:jc w:val="center"/>
        <w:textAlignment w:val="auto"/>
        <w:rPr>
          <w:rFonts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（表格详见附件）</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黑体" w:hAnsi="黑体" w:eastAsia="黑体"/>
          <w:color w:val="auto"/>
          <w:sz w:val="32"/>
          <w:szCs w:val="32"/>
          <w:highlight w:val="none"/>
        </w:rPr>
      </w:pPr>
    </w:p>
    <w:p>
      <w:pPr>
        <w:pStyle w:val="2"/>
        <w:keepNext w:val="0"/>
        <w:keepLines w:val="0"/>
        <w:pageBreakBefore w:val="0"/>
        <w:kinsoku/>
        <w:overflowPunct/>
        <w:topLinePunct w:val="0"/>
        <w:bidi w:val="0"/>
        <w:snapToGrid/>
        <w:spacing w:line="576" w:lineRule="exact"/>
        <w:textAlignment w:val="auto"/>
        <w:rPr>
          <w:rFonts w:ascii="黑体" w:hAnsi="黑体" w:eastAsia="黑体"/>
          <w:color w:val="auto"/>
          <w:sz w:val="32"/>
          <w:szCs w:val="32"/>
          <w:highlight w:val="none"/>
        </w:rPr>
      </w:pPr>
    </w:p>
    <w:p>
      <w:pPr>
        <w:keepNext w:val="0"/>
        <w:keepLines w:val="0"/>
        <w:pageBreakBefore w:val="0"/>
        <w:kinsoku/>
        <w:overflowPunct/>
        <w:topLinePunct w:val="0"/>
        <w:bidi w:val="0"/>
        <w:snapToGrid/>
        <w:spacing w:line="576" w:lineRule="exact"/>
        <w:textAlignment w:val="auto"/>
        <w:rPr>
          <w:rFonts w:ascii="黑体" w:hAnsi="黑体" w:eastAsia="黑体"/>
          <w:color w:val="auto"/>
          <w:sz w:val="32"/>
          <w:szCs w:val="32"/>
          <w:highlight w:val="none"/>
        </w:rPr>
      </w:pPr>
    </w:p>
    <w:p>
      <w:pPr>
        <w:pStyle w:val="2"/>
        <w:keepNext w:val="0"/>
        <w:keepLines w:val="0"/>
        <w:pageBreakBefore w:val="0"/>
        <w:kinsoku/>
        <w:overflowPunct/>
        <w:topLinePunct w:val="0"/>
        <w:bidi w:val="0"/>
        <w:snapToGrid/>
        <w:spacing w:line="576" w:lineRule="exact"/>
        <w:textAlignment w:val="auto"/>
        <w:rPr>
          <w:rFonts w:ascii="黑体" w:hAnsi="黑体" w:eastAsia="黑体"/>
          <w:color w:val="auto"/>
          <w:sz w:val="32"/>
          <w:szCs w:val="32"/>
          <w:highlight w:val="none"/>
        </w:rPr>
      </w:pPr>
    </w:p>
    <w:p>
      <w:pPr>
        <w:keepNext w:val="0"/>
        <w:keepLines w:val="0"/>
        <w:pageBreakBefore w:val="0"/>
        <w:kinsoku/>
        <w:overflowPunct/>
        <w:topLinePunct w:val="0"/>
        <w:bidi w:val="0"/>
        <w:snapToGrid/>
        <w:spacing w:line="576" w:lineRule="exact"/>
        <w:textAlignment w:val="auto"/>
        <w:rPr>
          <w:rFonts w:ascii="黑体" w:hAnsi="黑体" w:eastAsia="黑体"/>
          <w:color w:val="auto"/>
          <w:sz w:val="32"/>
          <w:szCs w:val="32"/>
          <w:highlight w:val="none"/>
        </w:rPr>
      </w:pPr>
    </w:p>
    <w:p>
      <w:pPr>
        <w:pStyle w:val="2"/>
        <w:keepNext w:val="0"/>
        <w:keepLines w:val="0"/>
        <w:pageBreakBefore w:val="0"/>
        <w:kinsoku/>
        <w:overflowPunct/>
        <w:topLinePunct w:val="0"/>
        <w:bidi w:val="0"/>
        <w:snapToGrid/>
        <w:spacing w:line="576" w:lineRule="exact"/>
        <w:textAlignment w:val="auto"/>
      </w:pPr>
    </w:p>
    <w:p>
      <w:pPr>
        <w:pStyle w:val="2"/>
        <w:keepNext w:val="0"/>
        <w:keepLines w:val="0"/>
        <w:pageBreakBefore w:val="0"/>
        <w:kinsoku/>
        <w:overflowPunct/>
        <w:topLinePunct w:val="0"/>
        <w:bidi w:val="0"/>
        <w:snapToGrid/>
        <w:spacing w:line="576" w:lineRule="exact"/>
        <w:textAlignment w:val="auto"/>
        <w:rPr>
          <w:rFonts w:ascii="黑体" w:hAnsi="黑体" w:eastAsia="黑体"/>
          <w:color w:val="auto"/>
          <w:sz w:val="32"/>
          <w:szCs w:val="32"/>
          <w:highlight w:val="none"/>
        </w:rPr>
      </w:pPr>
    </w:p>
    <w:p>
      <w:pPr>
        <w:keepNext w:val="0"/>
        <w:keepLines w:val="0"/>
        <w:pageBreakBefore w:val="0"/>
        <w:kinsoku/>
        <w:wordWrap/>
        <w:overflowPunct/>
        <w:topLinePunct w:val="0"/>
        <w:bidi w:val="0"/>
        <w:snapToGrid/>
        <w:spacing w:line="576" w:lineRule="exact"/>
        <w:jc w:val="both"/>
        <w:textAlignment w:val="auto"/>
        <w:rPr>
          <w:rFonts w:ascii="黑体" w:hAnsi="黑体" w:eastAsia="黑体"/>
          <w:color w:val="auto"/>
          <w:sz w:val="32"/>
          <w:szCs w:val="32"/>
          <w:highlight w:val="none"/>
        </w:rPr>
      </w:pPr>
    </w:p>
    <w:p>
      <w:pPr>
        <w:keepNext w:val="0"/>
        <w:keepLines w:val="0"/>
        <w:pageBreakBefore w:val="0"/>
        <w:kinsoku/>
        <w:wordWrap/>
        <w:overflowPunct/>
        <w:topLinePunct w:val="0"/>
        <w:bidi w:val="0"/>
        <w:snapToGrid/>
        <w:spacing w:line="576" w:lineRule="exact"/>
        <w:jc w:val="center"/>
        <w:textAlignment w:val="auto"/>
        <w:rPr>
          <w:rFonts w:hint="eastAsia"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第三部分</w:t>
      </w:r>
    </w:p>
    <w:p>
      <w:pPr>
        <w:keepNext w:val="0"/>
        <w:keepLines w:val="0"/>
        <w:pageBreakBefore w:val="0"/>
        <w:kinsoku/>
        <w:wordWrap/>
        <w:overflowPunct/>
        <w:topLinePunct w:val="0"/>
        <w:bidi w:val="0"/>
        <w:snapToGrid/>
        <w:spacing w:line="576" w:lineRule="exact"/>
        <w:ind w:firstLine="640" w:firstLineChars="200"/>
        <w:jc w:val="center"/>
        <w:textAlignment w:val="auto"/>
        <w:rPr>
          <w:rFonts w:hint="eastAsia" w:ascii="黑体" w:hAnsi="黑体" w:eastAsia="方正小标宋简体"/>
          <w:color w:val="auto"/>
          <w:sz w:val="32"/>
          <w:szCs w:val="32"/>
          <w:highlight w:val="none"/>
          <w:lang w:eastAsia="zh-CN"/>
        </w:rPr>
      </w:pPr>
      <w:r>
        <w:rPr>
          <w:rFonts w:hint="eastAsia" w:ascii="方正小标宋简体" w:hAnsi="仿宋" w:eastAsia="方正小标宋简体"/>
          <w:color w:val="auto"/>
          <w:sz w:val="32"/>
          <w:szCs w:val="32"/>
          <w:highlight w:val="none"/>
          <w:lang w:val="en-US" w:eastAsia="zh-CN"/>
        </w:rPr>
        <w:t>洛扎县纪委监委2026</w:t>
      </w:r>
      <w:r>
        <w:rPr>
          <w:rFonts w:hint="eastAsia" w:ascii="方正小标宋简体" w:hAnsi="仿宋" w:eastAsia="方正小标宋简体"/>
          <w:color w:val="auto"/>
          <w:sz w:val="32"/>
          <w:szCs w:val="32"/>
          <w:highlight w:val="none"/>
        </w:rPr>
        <w:t>年度部门预算</w:t>
      </w:r>
      <w:r>
        <w:rPr>
          <w:rFonts w:hint="eastAsia" w:ascii="方正小标宋简体" w:hAnsi="仿宋" w:eastAsia="方正小标宋简体"/>
          <w:color w:val="auto"/>
          <w:sz w:val="32"/>
          <w:szCs w:val="32"/>
          <w:highlight w:val="none"/>
          <w:lang w:val="en-US" w:eastAsia="zh-CN"/>
        </w:rPr>
        <w:t>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rPr>
        <w:t>一、</w:t>
      </w:r>
      <w:r>
        <w:rPr>
          <w:rFonts w:hint="eastAsia" w:ascii="黑体" w:hAnsi="黑体" w:eastAsia="黑体"/>
          <w:color w:val="auto"/>
          <w:sz w:val="32"/>
          <w:szCs w:val="32"/>
          <w:highlight w:val="none"/>
          <w:lang w:eastAsia="zh-CN"/>
        </w:rPr>
        <w:t>2026</w:t>
      </w:r>
      <w:r>
        <w:rPr>
          <w:rFonts w:hint="eastAsia" w:ascii="黑体" w:hAnsi="黑体" w:eastAsia="黑体"/>
          <w:color w:val="auto"/>
          <w:sz w:val="32"/>
          <w:szCs w:val="32"/>
          <w:highlight w:val="none"/>
        </w:rPr>
        <w:t>年部门</w:t>
      </w:r>
      <w:r>
        <w:rPr>
          <w:rFonts w:hint="eastAsia" w:ascii="黑体" w:hAnsi="黑体" w:eastAsia="黑体"/>
          <w:color w:val="auto"/>
          <w:sz w:val="32"/>
          <w:szCs w:val="32"/>
          <w:highlight w:val="none"/>
          <w:lang w:val="en-US" w:eastAsia="zh-CN"/>
        </w:rPr>
        <w:t>预算收支增减变化情况</w:t>
      </w:r>
    </w:p>
    <w:p>
      <w:pPr>
        <w:keepNext w:val="0"/>
        <w:keepLines w:val="0"/>
        <w:pageBreakBefore w:val="0"/>
        <w:kinsoku/>
        <w:wordWrap/>
        <w:overflowPunct/>
        <w:topLinePunct w:val="0"/>
        <w:bidi w:val="0"/>
        <w:snapToGrid/>
        <w:spacing w:line="576" w:lineRule="exact"/>
        <w:ind w:firstLine="640" w:firstLineChars="20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2026年机关</w:t>
      </w:r>
      <w:r>
        <w:rPr>
          <w:rFonts w:hint="eastAsia" w:ascii="仿宋" w:hAnsi="仿宋" w:eastAsia="仿宋"/>
          <w:color w:val="auto"/>
          <w:sz w:val="32"/>
          <w:szCs w:val="32"/>
          <w:highlight w:val="none"/>
        </w:rPr>
        <w:t>收入预算</w:t>
      </w:r>
      <w:r>
        <w:rPr>
          <w:rFonts w:hint="eastAsia" w:ascii="仿宋" w:hAnsi="仿宋" w:eastAsia="仿宋"/>
          <w:color w:val="auto"/>
          <w:sz w:val="32"/>
          <w:szCs w:val="32"/>
          <w:highlight w:val="none"/>
          <w:u w:val="none"/>
          <w:lang w:val="en-US" w:eastAsia="zh-CN"/>
        </w:rPr>
        <w:t>694.01</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lang w:val="en-US" w:eastAsia="zh-CN"/>
        </w:rPr>
        <w:t>较上年增加</w:t>
      </w:r>
      <w:r>
        <w:rPr>
          <w:rFonts w:hint="eastAsia" w:ascii="仿宋" w:hAnsi="仿宋" w:eastAsia="仿宋"/>
          <w:color w:val="auto"/>
          <w:sz w:val="32"/>
          <w:szCs w:val="32"/>
          <w:highlight w:val="none"/>
          <w:u w:val="none"/>
          <w:lang w:val="en-US" w:eastAsia="zh-CN"/>
        </w:rPr>
        <w:t>106.86</w:t>
      </w:r>
      <w:r>
        <w:rPr>
          <w:rFonts w:hint="eastAsia" w:ascii="仿宋" w:hAnsi="仿宋" w:eastAsia="仿宋"/>
          <w:color w:val="auto"/>
          <w:sz w:val="32"/>
          <w:szCs w:val="32"/>
          <w:highlight w:val="none"/>
          <w:lang w:val="en-US" w:eastAsia="zh-CN"/>
        </w:rPr>
        <w:t>万元，同比增长18.20%；</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预算</w:t>
      </w:r>
      <w:r>
        <w:rPr>
          <w:rFonts w:hint="eastAsia" w:ascii="仿宋" w:hAnsi="仿宋" w:eastAsia="仿宋"/>
          <w:color w:val="auto"/>
          <w:sz w:val="32"/>
          <w:szCs w:val="32"/>
          <w:highlight w:val="none"/>
          <w:u w:val="none"/>
          <w:lang w:val="en-US" w:eastAsia="zh-CN"/>
        </w:rPr>
        <w:t>694.01</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lang w:val="en-US" w:eastAsia="zh-CN"/>
        </w:rPr>
        <w:t>较上年增加</w:t>
      </w:r>
      <w:r>
        <w:rPr>
          <w:rFonts w:hint="eastAsia" w:ascii="仿宋" w:hAnsi="仿宋" w:eastAsia="仿宋"/>
          <w:color w:val="auto"/>
          <w:sz w:val="32"/>
          <w:szCs w:val="32"/>
          <w:highlight w:val="none"/>
          <w:u w:val="none"/>
          <w:lang w:val="en-US" w:eastAsia="zh-CN"/>
        </w:rPr>
        <w:t>106.86</w:t>
      </w:r>
      <w:r>
        <w:rPr>
          <w:rFonts w:hint="eastAsia" w:ascii="仿宋" w:hAnsi="仿宋" w:eastAsia="仿宋"/>
          <w:color w:val="auto"/>
          <w:sz w:val="32"/>
          <w:szCs w:val="32"/>
          <w:highlight w:val="none"/>
          <w:lang w:val="en-US" w:eastAsia="zh-CN"/>
        </w:rPr>
        <w:t>万元，同比增长18.20%，收支预算同步增长，主要原因为：</w:t>
      </w:r>
      <w:r>
        <w:rPr>
          <w:rFonts w:hint="eastAsia" w:ascii="仿宋_GB2312" w:hAnsi="仿宋_GB2312" w:eastAsia="仿宋_GB2312" w:cs="仿宋_GB2312"/>
          <w:b/>
          <w:bCs/>
          <w:kern w:val="0"/>
          <w:sz w:val="32"/>
          <w:szCs w:val="32"/>
          <w:lang w:val="en-US" w:eastAsia="zh-CN" w:bidi="ar"/>
        </w:rPr>
        <w:t>一是</w:t>
      </w:r>
      <w:r>
        <w:rPr>
          <w:rFonts w:hint="eastAsia" w:ascii="仿宋_GB2312" w:hAnsi="仿宋_GB2312" w:eastAsia="仿宋_GB2312" w:cs="仿宋_GB2312"/>
          <w:b w:val="0"/>
          <w:bCs w:val="0"/>
          <w:kern w:val="0"/>
          <w:sz w:val="32"/>
          <w:szCs w:val="32"/>
          <w:lang w:val="en-US" w:eastAsia="zh-CN" w:bidi="ar"/>
        </w:rPr>
        <w:t>机构调整与人员扩充。因机构职能优化、人员力量扩充，人员经费、公用经费相应增长</w:t>
      </w:r>
      <w:r>
        <w:rPr>
          <w:rFonts w:hint="eastAsia" w:ascii="仿宋_GB2312" w:hAnsi="仿宋_GB2312" w:eastAsia="仿宋_GB2312" w:cs="仿宋_GB2312"/>
          <w:kern w:val="0"/>
          <w:sz w:val="32"/>
          <w:szCs w:val="32"/>
          <w:lang w:val="en-US" w:eastAsia="zh-CN" w:bidi="ar"/>
        </w:rPr>
        <w:t>，随之整体预算规模上升；</w:t>
      </w:r>
      <w:r>
        <w:rPr>
          <w:rFonts w:hint="eastAsia" w:ascii="仿宋_GB2312" w:hAnsi="仿宋_GB2312" w:eastAsia="仿宋_GB2312" w:cs="仿宋_GB2312"/>
          <w:b/>
          <w:bCs/>
          <w:color w:val="auto"/>
          <w:sz w:val="32"/>
          <w:szCs w:val="32"/>
          <w:highlight w:val="none"/>
          <w:lang w:val="en-US" w:eastAsia="zh-CN"/>
        </w:rPr>
        <w:t>二是</w:t>
      </w:r>
      <w:r>
        <w:rPr>
          <w:rFonts w:hint="eastAsia" w:ascii="仿宋" w:hAnsi="仿宋" w:eastAsia="仿宋"/>
          <w:color w:val="auto"/>
          <w:sz w:val="32"/>
          <w:szCs w:val="32"/>
          <w:highlight w:val="none"/>
          <w:lang w:val="en-US" w:eastAsia="zh-CN"/>
        </w:rPr>
        <w:t>中央转移资金下达。本年度新增中央转移支付资金30万元，专项用于群腐工作相关支出，主要保障基层监督检查、专项督查及案件查办的差旅支出。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eastAsia="zh-CN"/>
        </w:rPr>
        <w:t>2026</w:t>
      </w:r>
      <w:r>
        <w:rPr>
          <w:rFonts w:hint="eastAsia" w:ascii="黑体" w:hAnsi="黑体" w:eastAsia="黑体"/>
          <w:color w:val="auto"/>
          <w:sz w:val="32"/>
          <w:szCs w:val="32"/>
          <w:highlight w:val="none"/>
        </w:rPr>
        <w:t>年</w:t>
      </w:r>
      <w:r>
        <w:rPr>
          <w:rFonts w:hint="eastAsia" w:ascii="黑体" w:hAnsi="黑体" w:eastAsia="黑体"/>
          <w:color w:val="auto"/>
          <w:sz w:val="32"/>
          <w:szCs w:val="32"/>
          <w:highlight w:val="none"/>
          <w:lang w:eastAsia="zh-CN"/>
        </w:rPr>
        <w:t>“</w:t>
      </w:r>
      <w:r>
        <w:rPr>
          <w:rFonts w:hint="eastAsia" w:ascii="黑体" w:hAnsi="黑体" w:eastAsia="黑体"/>
          <w:color w:val="auto"/>
          <w:sz w:val="32"/>
          <w:szCs w:val="32"/>
          <w:highlight w:val="none"/>
          <w:lang w:val="en-US" w:eastAsia="zh-CN"/>
        </w:rPr>
        <w:t>三公</w:t>
      </w:r>
      <w:r>
        <w:rPr>
          <w:rFonts w:hint="eastAsia" w:ascii="黑体" w:hAnsi="黑体" w:eastAsia="黑体"/>
          <w:color w:val="auto"/>
          <w:sz w:val="32"/>
          <w:szCs w:val="32"/>
          <w:highlight w:val="none"/>
          <w:lang w:eastAsia="zh-CN"/>
        </w:rPr>
        <w:t>”</w:t>
      </w:r>
      <w:r>
        <w:rPr>
          <w:rFonts w:hint="eastAsia" w:ascii="黑体" w:hAnsi="黑体" w:eastAsia="黑体"/>
          <w:color w:val="auto"/>
          <w:sz w:val="32"/>
          <w:szCs w:val="32"/>
          <w:highlight w:val="none"/>
          <w:lang w:val="en-US" w:eastAsia="zh-CN"/>
        </w:rPr>
        <w:t>经费安排情况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2026年我财政拨款安排“三公”经费16.5万元，较上年增加2万元，同比增长13.79%。</w:t>
      </w:r>
    </w:p>
    <w:p>
      <w:pPr>
        <w:keepNext w:val="0"/>
        <w:keepLines w:val="0"/>
        <w:pageBreakBefore w:val="0"/>
        <w:numPr>
          <w:ilvl w:val="0"/>
          <w:numId w:val="1"/>
        </w:numPr>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主要增长原因。</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纪检监察监督执纪、专项督查及基层办案频次增加，公车使用里程与运维成本相应上升</w:t>
      </w:r>
      <w:r>
        <w:rPr>
          <w:rFonts w:hint="eastAsia" w:ascii="仿宋" w:hAnsi="仿宋" w:eastAsia="仿宋"/>
          <w:b w:val="0"/>
          <w:bCs w:val="0"/>
          <w:color w:val="auto"/>
          <w:sz w:val="32"/>
          <w:szCs w:val="32"/>
          <w:highlight w:val="none"/>
          <w:lang w:val="en-US" w:eastAsia="zh-CN"/>
        </w:rPr>
        <w:t>；</w:t>
      </w:r>
      <w:r>
        <w:rPr>
          <w:rFonts w:hint="eastAsia" w:ascii="仿宋" w:hAnsi="仿宋" w:eastAsia="仿宋"/>
          <w:color w:val="auto"/>
          <w:sz w:val="32"/>
          <w:szCs w:val="32"/>
          <w:highlight w:val="none"/>
          <w:lang w:val="en-US" w:eastAsia="zh-CN"/>
        </w:rPr>
        <w:t>叠加车辆日常保养、燃油费正常调整，导致“三公”经费小幅增长。</w:t>
      </w:r>
    </w:p>
    <w:p>
      <w:pPr>
        <w:keepNext w:val="0"/>
        <w:keepLines w:val="0"/>
        <w:pageBreakBefore w:val="0"/>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（二）分项经费明细</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因公出国（境）费</w:t>
      </w:r>
      <w:r>
        <w:rPr>
          <w:rFonts w:hint="eastAsia" w:ascii="仿宋" w:hAnsi="仿宋" w:eastAsia="仿宋"/>
          <w:color w:val="auto"/>
          <w:sz w:val="32"/>
          <w:szCs w:val="32"/>
          <w:highlight w:val="none"/>
          <w:u w:val="none"/>
        </w:rPr>
        <w:t xml:space="preserve"> </w:t>
      </w:r>
      <w:r>
        <w:rPr>
          <w:rFonts w:hint="eastAsia" w:ascii="仿宋" w:hAnsi="仿宋" w:eastAsia="仿宋"/>
          <w:color w:val="auto"/>
          <w:sz w:val="32"/>
          <w:szCs w:val="32"/>
          <w:highlight w:val="none"/>
          <w:u w:val="none"/>
          <w:lang w:val="en-US" w:eastAsia="zh-CN"/>
        </w:rPr>
        <w:t>0</w:t>
      </w:r>
      <w:r>
        <w:rPr>
          <w:rFonts w:hint="eastAsia" w:ascii="仿宋" w:hAnsi="仿宋" w:eastAsia="仿宋"/>
          <w:color w:val="auto"/>
          <w:sz w:val="32"/>
          <w:szCs w:val="32"/>
          <w:highlight w:val="none"/>
          <w:u w:val="none"/>
        </w:rPr>
        <w:t xml:space="preserve"> </w:t>
      </w:r>
      <w:r>
        <w:rPr>
          <w:rFonts w:hint="eastAsia" w:ascii="仿宋" w:hAnsi="仿宋" w:eastAsia="仿宋"/>
          <w:color w:val="auto"/>
          <w:sz w:val="32"/>
          <w:szCs w:val="32"/>
          <w:highlight w:val="none"/>
          <w:lang w:eastAsia="zh-CN"/>
        </w:rPr>
        <w:t>万元</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公务用车购置及运行费</w:t>
      </w:r>
      <w:r>
        <w:rPr>
          <w:rFonts w:hint="eastAsia" w:ascii="仿宋" w:hAnsi="仿宋" w:eastAsia="仿宋"/>
          <w:color w:val="auto"/>
          <w:sz w:val="32"/>
          <w:szCs w:val="32"/>
          <w:highlight w:val="none"/>
          <w:u w:val="none"/>
          <w:lang w:val="en-US" w:eastAsia="zh-CN"/>
        </w:rPr>
        <w:t>16.5</w:t>
      </w:r>
      <w:r>
        <w:rPr>
          <w:rFonts w:hint="eastAsia" w:ascii="仿宋" w:hAnsi="仿宋" w:eastAsia="仿宋"/>
          <w:color w:val="auto"/>
          <w:sz w:val="32"/>
          <w:szCs w:val="32"/>
          <w:highlight w:val="none"/>
          <w:lang w:eastAsia="zh-CN"/>
        </w:rPr>
        <w:t>万元</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公务接待费</w:t>
      </w:r>
      <w:r>
        <w:rPr>
          <w:rFonts w:hint="eastAsia" w:ascii="仿宋" w:hAnsi="仿宋" w:eastAsia="仿宋"/>
          <w:color w:val="auto"/>
          <w:sz w:val="32"/>
          <w:szCs w:val="32"/>
          <w:highlight w:val="none"/>
          <w:u w:val="none"/>
        </w:rPr>
        <w:t xml:space="preserve"> </w:t>
      </w:r>
      <w:r>
        <w:rPr>
          <w:rFonts w:hint="eastAsia" w:ascii="仿宋" w:hAnsi="仿宋" w:eastAsia="仿宋"/>
          <w:color w:val="auto"/>
          <w:sz w:val="32"/>
          <w:szCs w:val="32"/>
          <w:highlight w:val="none"/>
          <w:u w:val="none"/>
          <w:lang w:val="en-US" w:eastAsia="zh-CN"/>
        </w:rPr>
        <w:t>0</w:t>
      </w:r>
      <w:r>
        <w:rPr>
          <w:rFonts w:hint="eastAsia" w:ascii="仿宋" w:hAnsi="仿宋" w:eastAsia="仿宋"/>
          <w:color w:val="auto"/>
          <w:sz w:val="32"/>
          <w:szCs w:val="32"/>
          <w:highlight w:val="none"/>
          <w:u w:val="none"/>
        </w:rPr>
        <w:t xml:space="preserve"> </w:t>
      </w:r>
      <w:r>
        <w:rPr>
          <w:rFonts w:hint="eastAsia" w:ascii="仿宋" w:hAnsi="仿宋" w:eastAsia="仿宋"/>
          <w:color w:val="auto"/>
          <w:sz w:val="32"/>
          <w:szCs w:val="32"/>
          <w:highlight w:val="none"/>
          <w:lang w:eastAsia="zh-CN"/>
        </w:rPr>
        <w:t>万元</w:t>
      </w:r>
    </w:p>
    <w:p>
      <w:pPr>
        <w:pStyle w:val="2"/>
        <w:keepNext w:val="0"/>
        <w:keepLines w:val="0"/>
        <w:pageBreakBefore w:val="0"/>
        <w:kinsoku/>
        <w:overflowPunct/>
        <w:topLinePunct w:val="0"/>
        <w:bidi w:val="0"/>
        <w:snapToGrid/>
        <w:spacing w:line="576" w:lineRule="exact"/>
        <w:textAlignment w:val="auto"/>
        <w:rPr>
          <w:rFonts w:hint="eastAsia"/>
          <w:lang w:eastAsia="zh-CN"/>
        </w:rPr>
      </w:pPr>
      <w:r>
        <w:rPr>
          <w:rFonts w:hint="eastAsia" w:ascii="仿宋" w:hAnsi="仿宋" w:eastAsia="仿宋"/>
          <w:color w:val="auto"/>
          <w:sz w:val="32"/>
          <w:szCs w:val="32"/>
          <w:highlight w:val="none"/>
          <w:lang w:eastAsia="zh-CN"/>
        </w:rPr>
        <w:t>我单位严格执行中央八项规定及其实施细则精神，严格管控“三公”经费支出，坚决杜绝非必要、不合理开支，确保使用合规、高效、透明。</w:t>
      </w:r>
    </w:p>
    <w:p>
      <w:pPr>
        <w:keepNext w:val="0"/>
        <w:keepLines w:val="0"/>
        <w:pageBreakBefore w:val="0"/>
        <w:kinsoku/>
        <w:wordWrap/>
        <w:overflowPunct/>
        <w:topLinePunct w:val="0"/>
        <w:bidi w:val="0"/>
        <w:snapToGrid/>
        <w:spacing w:line="576" w:lineRule="exact"/>
        <w:ind w:firstLine="640" w:firstLineChars="200"/>
        <w:textAlignment w:val="auto"/>
        <w:rPr>
          <w:rFonts w:hint="default" w:ascii="黑体" w:hAnsi="黑体" w:eastAsia="黑体"/>
          <w:color w:val="auto"/>
          <w:sz w:val="32"/>
          <w:szCs w:val="32"/>
          <w:highlight w:val="none"/>
          <w:lang w:val="en-US"/>
        </w:rPr>
      </w:pPr>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val="en-US" w:eastAsia="zh-CN"/>
        </w:rPr>
        <w:t>机关运行经费安排情况</w:t>
      </w:r>
    </w:p>
    <w:p>
      <w:pPr>
        <w:keepNext w:val="0"/>
        <w:keepLines w:val="0"/>
        <w:pageBreakBefore w:val="0"/>
        <w:kinsoku/>
        <w:wordWrap/>
        <w:overflowPunct/>
        <w:topLinePunct w:val="0"/>
        <w:bidi w:val="0"/>
        <w:snapToGrid/>
        <w:spacing w:line="576" w:lineRule="exact"/>
        <w:ind w:firstLine="640" w:firstLineChars="20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，本单位</w:t>
      </w:r>
      <w:r>
        <w:rPr>
          <w:rFonts w:hint="eastAsia" w:ascii="仿宋" w:hAnsi="仿宋" w:eastAsia="仿宋"/>
          <w:color w:val="auto"/>
          <w:sz w:val="32"/>
          <w:szCs w:val="32"/>
          <w:highlight w:val="none"/>
          <w:lang w:val="en-US" w:eastAsia="zh-CN"/>
        </w:rPr>
        <w:t>运行经费安排45.74万元，较上年增加1.13万元，同比增加2.53%，主要原因：本单位人员数量较去年</w:t>
      </w:r>
      <w:r>
        <w:rPr>
          <w:rFonts w:hint="eastAsia" w:ascii="仿宋_GB2312" w:hAnsi="仿宋_GB2312" w:eastAsia="仿宋_GB2312" w:cs="仿宋_GB2312"/>
          <w:kern w:val="0"/>
          <w:sz w:val="32"/>
          <w:szCs w:val="32"/>
          <w:lang w:val="en-US" w:eastAsia="zh-CN" w:bidi="ar"/>
        </w:rPr>
        <w:t>增加</w:t>
      </w:r>
      <w:r>
        <w:rPr>
          <w:rFonts w:hint="eastAsia" w:ascii="仿宋" w:hAnsi="仿宋" w:eastAsia="仿宋"/>
          <w:color w:val="auto"/>
          <w:sz w:val="32"/>
          <w:szCs w:val="32"/>
          <w:highlight w:val="none"/>
          <w:lang w:val="en-US" w:eastAsia="zh-CN"/>
        </w:rPr>
        <w:t>，公用经费按人头核定，加之公用经费包含残保金等政策性刚性支出，随之本单位机关运行经费小幅增加。</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 xml:space="preserve"> 四、政府采购情况说明</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cs="仿宋_GB2312" w:hAnsiTheme="minorHAnsi"/>
          <w:color w:val="auto"/>
          <w:kern w:val="0"/>
          <w:sz w:val="32"/>
          <w:szCs w:val="32"/>
          <w:highlight w:val="none"/>
        </w:rPr>
      </w:pPr>
      <w:r>
        <w:rPr>
          <w:rFonts w:hint="eastAsia" w:ascii="仿宋" w:hAnsi="仿宋" w:eastAsia="仿宋"/>
          <w:color w:val="auto"/>
          <w:sz w:val="32"/>
          <w:szCs w:val="32"/>
          <w:highlight w:val="none"/>
          <w:lang w:eastAsia="zh-CN"/>
        </w:rPr>
        <w:t>2026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我委</w:t>
      </w:r>
      <w:r>
        <w:rPr>
          <w:rFonts w:ascii="仿宋" w:hAnsi="仿宋" w:eastAsia="仿宋"/>
          <w:color w:val="auto"/>
          <w:sz w:val="32"/>
          <w:szCs w:val="32"/>
          <w:highlight w:val="none"/>
        </w:rPr>
        <w:t>及</w:t>
      </w:r>
      <w:r>
        <w:rPr>
          <w:rFonts w:hint="eastAsia" w:ascii="仿宋" w:hAnsi="仿宋" w:eastAsia="仿宋"/>
          <w:color w:val="auto"/>
          <w:sz w:val="32"/>
          <w:szCs w:val="32"/>
          <w:highlight w:val="none"/>
        </w:rPr>
        <w:t>所属各预算单位政府采购预算总额</w:t>
      </w:r>
      <w:r>
        <w:rPr>
          <w:rFonts w:hint="eastAsia" w:ascii="仿宋_GB2312" w:eastAsia="仿宋_GB2312" w:cs="仿宋_GB2312" w:hAnsiTheme="minorHAnsi"/>
          <w:color w:val="auto"/>
          <w:kern w:val="0"/>
          <w:sz w:val="32"/>
          <w:szCs w:val="32"/>
          <w:highlight w:val="none"/>
          <w:u w:val="none"/>
        </w:rPr>
        <w:t xml:space="preserve"> </w:t>
      </w:r>
      <w:r>
        <w:rPr>
          <w:rFonts w:hint="eastAsia" w:ascii="仿宋_GB2312" w:eastAsia="仿宋_GB2312" w:cs="仿宋_GB2312" w:hAnsiTheme="minorHAnsi"/>
          <w:color w:val="auto"/>
          <w:kern w:val="0"/>
          <w:sz w:val="32"/>
          <w:szCs w:val="32"/>
          <w:highlight w:val="none"/>
          <w:u w:val="none"/>
          <w:lang w:val="en-US" w:eastAsia="zh-CN"/>
        </w:rPr>
        <w:t>0</w:t>
      </w:r>
      <w:r>
        <w:rPr>
          <w:rFonts w:hint="eastAsia" w:ascii="仿宋_GB2312" w:eastAsia="仿宋_GB2312" w:cs="仿宋_GB2312" w:hAnsiTheme="minorHAnsi"/>
          <w:color w:val="auto"/>
          <w:kern w:val="0"/>
          <w:sz w:val="32"/>
          <w:szCs w:val="32"/>
          <w:highlight w:val="none"/>
          <w:u w:val="none"/>
        </w:rPr>
        <w:t xml:space="preserve"> </w:t>
      </w:r>
      <w:r>
        <w:rPr>
          <w:rFonts w:hint="eastAsia" w:ascii="仿宋" w:hAnsi="仿宋" w:eastAsia="仿宋"/>
          <w:color w:val="auto"/>
          <w:sz w:val="32"/>
          <w:szCs w:val="32"/>
          <w:highlight w:val="none"/>
        </w:rPr>
        <w:t>万</w:t>
      </w:r>
      <w:r>
        <w:rPr>
          <w:rFonts w:hint="eastAsia" w:ascii="仿宋" w:hAnsi="仿宋" w:eastAsia="仿宋"/>
          <w:color w:val="auto"/>
          <w:sz w:val="32"/>
          <w:szCs w:val="32"/>
          <w:highlight w:val="none"/>
          <w:lang w:eastAsia="zh-CN"/>
        </w:rPr>
        <w:t>元</w:t>
      </w:r>
      <w:r>
        <w:rPr>
          <w:rFonts w:hint="eastAsia" w:ascii="仿宋" w:hAnsi="仿宋" w:eastAsia="仿宋"/>
          <w:color w:val="auto"/>
          <w:sz w:val="32"/>
          <w:szCs w:val="32"/>
          <w:highlight w:val="none"/>
        </w:rPr>
        <w:t>，其中：政府采购货物预算</w:t>
      </w:r>
      <w:r>
        <w:rPr>
          <w:rFonts w:hint="eastAsia" w:ascii="仿宋_GB2312" w:eastAsia="仿宋_GB2312" w:cs="仿宋_GB2312" w:hAnsiTheme="minorHAnsi"/>
          <w:color w:val="auto"/>
          <w:kern w:val="0"/>
          <w:sz w:val="32"/>
          <w:szCs w:val="32"/>
          <w:highlight w:val="none"/>
          <w:u w:val="single"/>
          <w:lang w:val="en-US" w:eastAsia="zh-CN"/>
        </w:rPr>
        <w:t>0</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、政府采购工程预算</w:t>
      </w:r>
      <w:r>
        <w:rPr>
          <w:rFonts w:hint="eastAsia" w:ascii="仿宋_GB2312" w:eastAsia="仿宋_GB2312" w:cs="仿宋_GB2312" w:hAnsiTheme="minorHAnsi"/>
          <w:color w:val="auto"/>
          <w:kern w:val="0"/>
          <w:sz w:val="32"/>
          <w:szCs w:val="32"/>
          <w:highlight w:val="none"/>
          <w:u w:val="none"/>
        </w:rPr>
        <w:t xml:space="preserve"> </w:t>
      </w:r>
      <w:r>
        <w:rPr>
          <w:rFonts w:hint="eastAsia" w:ascii="仿宋_GB2312" w:eastAsia="仿宋_GB2312" w:cs="仿宋_GB2312" w:hAnsiTheme="minorHAnsi"/>
          <w:color w:val="auto"/>
          <w:kern w:val="0"/>
          <w:sz w:val="32"/>
          <w:szCs w:val="32"/>
          <w:highlight w:val="none"/>
          <w:u w:val="none"/>
          <w:lang w:val="en-US" w:eastAsia="zh-CN"/>
        </w:rPr>
        <w:t>0</w:t>
      </w:r>
      <w:r>
        <w:rPr>
          <w:rFonts w:hint="eastAsia" w:ascii="仿宋_GB2312" w:eastAsia="仿宋_GB2312" w:cs="仿宋_GB2312" w:hAnsiTheme="minorHAnsi"/>
          <w:color w:val="auto"/>
          <w:kern w:val="0"/>
          <w:sz w:val="32"/>
          <w:szCs w:val="32"/>
          <w:highlight w:val="none"/>
          <w:u w:val="none"/>
        </w:rPr>
        <w:t xml:space="preserve"> </w:t>
      </w:r>
      <w:r>
        <w:rPr>
          <w:rFonts w:hint="eastAsia" w:ascii="仿宋" w:hAnsi="仿宋" w:eastAsia="仿宋"/>
          <w:color w:val="auto"/>
          <w:sz w:val="32"/>
          <w:szCs w:val="32"/>
          <w:highlight w:val="none"/>
        </w:rPr>
        <w:t>万</w:t>
      </w:r>
      <w:r>
        <w:rPr>
          <w:rFonts w:hint="eastAsia" w:ascii="仿宋" w:hAnsi="仿宋" w:eastAsia="仿宋"/>
          <w:color w:val="auto"/>
          <w:sz w:val="32"/>
          <w:szCs w:val="32"/>
          <w:highlight w:val="none"/>
          <w:lang w:eastAsia="zh-CN"/>
        </w:rPr>
        <w:t>元</w:t>
      </w:r>
      <w:r>
        <w:rPr>
          <w:rFonts w:hint="eastAsia" w:ascii="仿宋" w:hAnsi="仿宋" w:eastAsia="仿宋"/>
          <w:color w:val="auto"/>
          <w:sz w:val="32"/>
          <w:szCs w:val="32"/>
          <w:highlight w:val="none"/>
        </w:rPr>
        <w:t>、政府采购服务预算</w:t>
      </w:r>
      <w:r>
        <w:rPr>
          <w:rFonts w:hint="eastAsia" w:ascii="仿宋_GB2312" w:eastAsia="仿宋_GB2312" w:cs="仿宋_GB2312" w:hAnsiTheme="minorHAnsi"/>
          <w:color w:val="auto"/>
          <w:kern w:val="0"/>
          <w:sz w:val="32"/>
          <w:szCs w:val="32"/>
          <w:highlight w:val="none"/>
          <w:u w:val="none"/>
        </w:rPr>
        <w:t xml:space="preserve"> </w:t>
      </w:r>
      <w:r>
        <w:rPr>
          <w:rFonts w:hint="eastAsia" w:ascii="仿宋_GB2312" w:eastAsia="仿宋_GB2312" w:cs="仿宋_GB2312" w:hAnsiTheme="minorHAnsi"/>
          <w:color w:val="auto"/>
          <w:kern w:val="0"/>
          <w:sz w:val="32"/>
          <w:szCs w:val="32"/>
          <w:highlight w:val="none"/>
          <w:u w:val="none"/>
          <w:lang w:val="en-US" w:eastAsia="zh-CN"/>
        </w:rPr>
        <w:t>0</w:t>
      </w:r>
      <w:r>
        <w:rPr>
          <w:rFonts w:hint="eastAsia" w:ascii="仿宋_GB2312" w:eastAsia="仿宋_GB2312" w:cs="仿宋_GB2312" w:hAnsiTheme="minorHAnsi"/>
          <w:color w:val="auto"/>
          <w:kern w:val="0"/>
          <w:sz w:val="32"/>
          <w:szCs w:val="32"/>
          <w:highlight w:val="none"/>
          <w:u w:val="none"/>
        </w:rPr>
        <w:t xml:space="preserve"> </w:t>
      </w:r>
      <w:bookmarkStart w:id="0" w:name="_GoBack"/>
      <w:bookmarkEnd w:id="0"/>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w:t>
      </w:r>
    </w:p>
    <w:p>
      <w:pPr>
        <w:keepNext w:val="0"/>
        <w:keepLines w:val="0"/>
        <w:pageBreakBefore w:val="0"/>
        <w:kinsoku/>
        <w:wordWrap/>
        <w:overflowPunct/>
        <w:topLinePunct w:val="0"/>
        <w:bidi w:val="0"/>
        <w:snapToGrid/>
        <w:spacing w:line="576" w:lineRule="exact"/>
        <w:ind w:firstLine="640" w:firstLineChars="200"/>
        <w:textAlignment w:val="auto"/>
        <w:rPr>
          <w:rFonts w:ascii="楷体" w:hAnsi="楷体" w:eastAsia="楷体"/>
          <w:color w:val="auto"/>
          <w:sz w:val="32"/>
          <w:szCs w:val="32"/>
          <w:highlight w:val="none"/>
        </w:rPr>
      </w:pPr>
      <w:r>
        <w:rPr>
          <w:rFonts w:hint="eastAsia" w:ascii="黑体" w:hAnsi="黑体" w:eastAsia="黑体"/>
          <w:color w:val="auto"/>
          <w:sz w:val="32"/>
          <w:szCs w:val="32"/>
          <w:highlight w:val="none"/>
          <w:lang w:val="en-US" w:eastAsia="zh-CN"/>
        </w:rPr>
        <w:t>五、国有资产占有使用情况说明</w:t>
      </w:r>
      <w:r>
        <w:rPr>
          <w:rFonts w:hint="eastAsia" w:ascii="楷体" w:hAnsi="楷体" w:eastAsia="楷体"/>
          <w:color w:val="auto"/>
          <w:sz w:val="32"/>
          <w:szCs w:val="32"/>
          <w:highlight w:val="none"/>
        </w:rPr>
        <w:t>。</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截至</w:t>
      </w:r>
      <w:r>
        <w:rPr>
          <w:rFonts w:hint="eastAsia" w:ascii="仿宋" w:hAnsi="仿宋" w:eastAsia="仿宋"/>
          <w:color w:val="auto"/>
          <w:sz w:val="32"/>
          <w:szCs w:val="32"/>
          <w:highlight w:val="none"/>
          <w:lang w:eastAsia="zh-CN"/>
        </w:rPr>
        <w:t>2026</w:t>
      </w:r>
      <w:r>
        <w:rPr>
          <w:rFonts w:hint="eastAsia" w:ascii="仿宋" w:hAnsi="仿宋" w:eastAsia="仿宋"/>
          <w:color w:val="auto"/>
          <w:sz w:val="32"/>
          <w:szCs w:val="32"/>
          <w:highlight w:val="none"/>
        </w:rPr>
        <w:t>年</w:t>
      </w:r>
      <w:r>
        <w:rPr>
          <w:rFonts w:hint="eastAsia" w:ascii="仿宋_GB2312" w:eastAsia="仿宋_GB2312" w:cs="仿宋_GB2312" w:hAnsiTheme="minorHAnsi"/>
          <w:color w:val="auto"/>
          <w:kern w:val="0"/>
          <w:sz w:val="32"/>
          <w:szCs w:val="32"/>
          <w:highlight w:val="none"/>
          <w:u w:val="none"/>
          <w:lang w:val="en-US" w:eastAsia="zh-CN"/>
        </w:rPr>
        <w:t>4</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初</w:t>
      </w:r>
      <w:r>
        <w:rPr>
          <w:rFonts w:hint="eastAsia" w:ascii="仿宋" w:hAnsi="仿宋" w:eastAsia="仿宋"/>
          <w:color w:val="auto"/>
          <w:sz w:val="32"/>
          <w:szCs w:val="32"/>
          <w:highlight w:val="none"/>
        </w:rPr>
        <w:t>，本</w:t>
      </w:r>
      <w:r>
        <w:rPr>
          <w:rFonts w:ascii="仿宋" w:hAnsi="仿宋" w:eastAsia="仿宋"/>
          <w:color w:val="auto"/>
          <w:sz w:val="32"/>
          <w:szCs w:val="32"/>
          <w:highlight w:val="none"/>
        </w:rPr>
        <w:t>部门</w:t>
      </w:r>
      <w:r>
        <w:rPr>
          <w:rFonts w:hint="eastAsia" w:ascii="仿宋" w:hAnsi="仿宋" w:eastAsia="仿宋"/>
          <w:color w:val="auto"/>
          <w:sz w:val="32"/>
          <w:szCs w:val="32"/>
          <w:highlight w:val="none"/>
        </w:rPr>
        <w:t>及所属各预算单位共有车辆</w:t>
      </w:r>
      <w:r>
        <w:rPr>
          <w:rFonts w:hint="eastAsia" w:ascii="仿宋_GB2312" w:eastAsia="仿宋_GB2312" w:cs="仿宋_GB2312" w:hAnsiTheme="minorHAnsi"/>
          <w:color w:val="auto"/>
          <w:kern w:val="0"/>
          <w:sz w:val="32"/>
          <w:szCs w:val="32"/>
          <w:highlight w:val="none"/>
          <w:u w:val="none"/>
          <w:lang w:val="en-US" w:eastAsia="zh-CN"/>
        </w:rPr>
        <w:t>1</w:t>
      </w:r>
      <w:r>
        <w:rPr>
          <w:rFonts w:hint="eastAsia" w:ascii="仿宋" w:hAnsi="仿宋" w:eastAsia="仿宋"/>
          <w:color w:val="auto"/>
          <w:sz w:val="32"/>
          <w:szCs w:val="32"/>
          <w:highlight w:val="none"/>
        </w:rPr>
        <w:t>辆，其中，</w:t>
      </w:r>
      <w:r>
        <w:rPr>
          <w:rFonts w:hint="eastAsia" w:ascii="仿宋_GB2312" w:eastAsia="仿宋_GB2312" w:cs="仿宋_GB2312" w:hAnsiTheme="minorHAnsi"/>
          <w:color w:val="auto"/>
          <w:kern w:val="0"/>
          <w:sz w:val="32"/>
          <w:szCs w:val="32"/>
          <w:highlight w:val="none"/>
          <w:u w:val="none"/>
          <w:lang w:val="en-US" w:eastAsia="zh-CN"/>
        </w:rPr>
        <w:t>0</w:t>
      </w:r>
      <w:r>
        <w:rPr>
          <w:rFonts w:hint="eastAsia" w:ascii="仿宋" w:hAnsi="仿宋" w:eastAsia="仿宋"/>
          <w:color w:val="auto"/>
          <w:sz w:val="32"/>
          <w:szCs w:val="32"/>
          <w:highlight w:val="none"/>
        </w:rPr>
        <w:t>级领导干部用车（含在职和离退休部级干部用车）</w:t>
      </w:r>
      <w:r>
        <w:rPr>
          <w:rFonts w:hint="eastAsia" w:ascii="仿宋_GB2312" w:eastAsia="仿宋_GB2312" w:cs="仿宋_GB2312" w:hAnsiTheme="minorHAnsi"/>
          <w:color w:val="auto"/>
          <w:kern w:val="0"/>
          <w:sz w:val="32"/>
          <w:szCs w:val="32"/>
          <w:highlight w:val="none"/>
          <w:u w:val="none"/>
          <w:lang w:val="en-US" w:eastAsia="zh-CN"/>
        </w:rPr>
        <w:t>0</w:t>
      </w:r>
      <w:r>
        <w:rPr>
          <w:rFonts w:hint="eastAsia" w:ascii="仿宋" w:hAnsi="仿宋" w:eastAsia="仿宋"/>
          <w:color w:val="auto"/>
          <w:sz w:val="32"/>
          <w:szCs w:val="32"/>
          <w:highlight w:val="none"/>
        </w:rPr>
        <w:t>辆、机要通信用车</w:t>
      </w:r>
      <w:r>
        <w:rPr>
          <w:rFonts w:hint="eastAsia" w:ascii="仿宋_GB2312" w:eastAsia="仿宋_GB2312" w:cs="仿宋_GB2312" w:hAnsiTheme="minorHAnsi"/>
          <w:color w:val="auto"/>
          <w:kern w:val="0"/>
          <w:sz w:val="32"/>
          <w:szCs w:val="32"/>
          <w:highlight w:val="none"/>
          <w:u w:val="none"/>
          <w:lang w:val="en-US" w:eastAsia="zh-CN"/>
        </w:rPr>
        <w:t>0</w:t>
      </w:r>
      <w:r>
        <w:rPr>
          <w:rFonts w:hint="eastAsia" w:ascii="仿宋" w:hAnsi="仿宋" w:eastAsia="仿宋"/>
          <w:color w:val="auto"/>
          <w:sz w:val="32"/>
          <w:szCs w:val="32"/>
          <w:highlight w:val="none"/>
        </w:rPr>
        <w:t>辆、应急保障用车</w:t>
      </w:r>
      <w:r>
        <w:rPr>
          <w:rFonts w:hint="eastAsia" w:ascii="仿宋_GB2312" w:eastAsia="仿宋_GB2312" w:cs="仿宋_GB2312" w:hAnsiTheme="minorHAnsi"/>
          <w:color w:val="auto"/>
          <w:kern w:val="0"/>
          <w:sz w:val="32"/>
          <w:szCs w:val="32"/>
          <w:highlight w:val="none"/>
          <w:u w:val="none"/>
          <w:lang w:val="en-US" w:eastAsia="zh-CN"/>
        </w:rPr>
        <w:t>0</w:t>
      </w:r>
      <w:r>
        <w:rPr>
          <w:rFonts w:hint="eastAsia" w:ascii="仿宋" w:hAnsi="仿宋" w:eastAsia="仿宋"/>
          <w:color w:val="auto"/>
          <w:sz w:val="32"/>
          <w:szCs w:val="32"/>
          <w:highlight w:val="none"/>
        </w:rPr>
        <w:t>辆、执法执勤用车</w:t>
      </w:r>
      <w:r>
        <w:rPr>
          <w:rFonts w:hint="eastAsia" w:ascii="仿宋_GB2312" w:eastAsia="仿宋_GB2312" w:cs="仿宋_GB2312" w:hAnsiTheme="minorHAnsi"/>
          <w:color w:val="auto"/>
          <w:kern w:val="0"/>
          <w:sz w:val="32"/>
          <w:szCs w:val="32"/>
          <w:highlight w:val="none"/>
          <w:u w:val="none"/>
        </w:rPr>
        <w:t xml:space="preserve"> </w:t>
      </w:r>
      <w:r>
        <w:rPr>
          <w:rFonts w:hint="eastAsia" w:ascii="仿宋_GB2312" w:eastAsia="仿宋_GB2312" w:cs="仿宋_GB2312" w:hAnsiTheme="minorHAnsi"/>
          <w:color w:val="auto"/>
          <w:kern w:val="0"/>
          <w:sz w:val="32"/>
          <w:szCs w:val="32"/>
          <w:highlight w:val="none"/>
          <w:u w:val="none"/>
          <w:lang w:val="en-US" w:eastAsia="zh-CN"/>
        </w:rPr>
        <w:t>0</w:t>
      </w:r>
      <w:r>
        <w:rPr>
          <w:rFonts w:hint="eastAsia" w:ascii="仿宋_GB2312" w:eastAsia="仿宋_GB2312" w:cs="仿宋_GB2312" w:hAnsiTheme="minorHAnsi"/>
          <w:color w:val="auto"/>
          <w:kern w:val="0"/>
          <w:sz w:val="32"/>
          <w:szCs w:val="32"/>
          <w:highlight w:val="none"/>
          <w:u w:val="none"/>
        </w:rPr>
        <w:t xml:space="preserve"> </w:t>
      </w:r>
      <w:r>
        <w:rPr>
          <w:rFonts w:hint="eastAsia" w:ascii="仿宋" w:hAnsi="仿宋" w:eastAsia="仿宋"/>
          <w:color w:val="auto"/>
          <w:sz w:val="32"/>
          <w:szCs w:val="32"/>
          <w:highlight w:val="none"/>
        </w:rPr>
        <w:t>辆、特种专业技术用车</w:t>
      </w:r>
      <w:r>
        <w:rPr>
          <w:rFonts w:hint="eastAsia" w:ascii="仿宋_GB2312" w:eastAsia="仿宋_GB2312" w:cs="仿宋_GB2312" w:hAnsiTheme="minorHAnsi"/>
          <w:color w:val="auto"/>
          <w:kern w:val="0"/>
          <w:sz w:val="32"/>
          <w:szCs w:val="32"/>
          <w:highlight w:val="none"/>
          <w:u w:val="none"/>
        </w:rPr>
        <w:t xml:space="preserve"> </w:t>
      </w:r>
      <w:r>
        <w:rPr>
          <w:rFonts w:hint="eastAsia" w:ascii="仿宋_GB2312" w:eastAsia="仿宋_GB2312" w:cs="仿宋_GB2312" w:hAnsiTheme="minorHAnsi"/>
          <w:color w:val="auto"/>
          <w:kern w:val="0"/>
          <w:sz w:val="32"/>
          <w:szCs w:val="32"/>
          <w:highlight w:val="none"/>
          <w:u w:val="none"/>
          <w:lang w:val="en-US" w:eastAsia="zh-CN"/>
        </w:rPr>
        <w:t>0</w:t>
      </w:r>
      <w:r>
        <w:rPr>
          <w:rFonts w:hint="eastAsia" w:ascii="仿宋_GB2312" w:eastAsia="仿宋_GB2312" w:cs="仿宋_GB2312" w:hAnsiTheme="minorHAnsi"/>
          <w:color w:val="auto"/>
          <w:kern w:val="0"/>
          <w:sz w:val="32"/>
          <w:szCs w:val="32"/>
          <w:highlight w:val="none"/>
          <w:u w:val="none"/>
        </w:rPr>
        <w:t xml:space="preserve"> </w:t>
      </w:r>
      <w:r>
        <w:rPr>
          <w:rFonts w:hint="eastAsia" w:ascii="仿宋" w:hAnsi="仿宋" w:eastAsia="仿宋"/>
          <w:color w:val="auto"/>
          <w:sz w:val="32"/>
          <w:szCs w:val="32"/>
          <w:highlight w:val="none"/>
        </w:rPr>
        <w:t>辆、其他用车</w:t>
      </w:r>
      <w:r>
        <w:rPr>
          <w:rFonts w:hint="eastAsia" w:ascii="仿宋_GB2312" w:eastAsia="仿宋_GB2312" w:cs="仿宋_GB2312" w:hAnsiTheme="minorHAnsi"/>
          <w:color w:val="auto"/>
          <w:kern w:val="0"/>
          <w:sz w:val="32"/>
          <w:szCs w:val="32"/>
          <w:highlight w:val="none"/>
          <w:u w:val="none"/>
        </w:rPr>
        <w:t xml:space="preserve"> </w:t>
      </w:r>
      <w:r>
        <w:rPr>
          <w:rFonts w:hint="eastAsia" w:ascii="仿宋_GB2312" w:eastAsia="仿宋_GB2312" w:cs="仿宋_GB2312" w:hAnsiTheme="minorHAnsi"/>
          <w:color w:val="auto"/>
          <w:kern w:val="0"/>
          <w:sz w:val="32"/>
          <w:szCs w:val="32"/>
          <w:highlight w:val="none"/>
          <w:u w:val="none"/>
          <w:lang w:val="en-US" w:eastAsia="zh-CN"/>
        </w:rPr>
        <w:t>1</w:t>
      </w:r>
      <w:r>
        <w:rPr>
          <w:rFonts w:hint="eastAsia" w:ascii="仿宋" w:hAnsi="仿宋" w:eastAsia="仿宋"/>
          <w:color w:val="auto"/>
          <w:sz w:val="32"/>
          <w:szCs w:val="32"/>
          <w:highlight w:val="none"/>
        </w:rPr>
        <w:t>辆，其他用车主要是</w:t>
      </w:r>
      <w:r>
        <w:rPr>
          <w:rFonts w:hint="eastAsia" w:ascii="仿宋_GB2312" w:eastAsia="仿宋_GB2312" w:cs="仿宋_GB2312" w:hAnsiTheme="minorHAnsi"/>
          <w:b w:val="0"/>
          <w:bCs w:val="0"/>
          <w:color w:val="auto"/>
          <w:kern w:val="0"/>
          <w:sz w:val="32"/>
          <w:szCs w:val="32"/>
          <w:highlight w:val="none"/>
          <w:u w:val="none"/>
          <w:lang w:val="en-US" w:eastAsia="zh-CN"/>
        </w:rPr>
        <w:t>公务</w:t>
      </w:r>
      <w:r>
        <w:rPr>
          <w:rFonts w:hint="eastAsia" w:ascii="仿宋" w:hAnsi="仿宋" w:eastAsia="仿宋"/>
          <w:color w:val="auto"/>
          <w:sz w:val="32"/>
          <w:szCs w:val="32"/>
          <w:highlight w:val="none"/>
        </w:rPr>
        <w:t>用途的车辆。单位价值</w:t>
      </w:r>
      <w:r>
        <w:rPr>
          <w:rFonts w:ascii="仿宋" w:hAnsi="仿宋" w:eastAsia="仿宋"/>
          <w:color w:val="auto"/>
          <w:sz w:val="32"/>
          <w:szCs w:val="32"/>
          <w:highlight w:val="none"/>
        </w:rPr>
        <w:t>50</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以上通用设备</w:t>
      </w:r>
      <w:r>
        <w:rPr>
          <w:rFonts w:hint="eastAsia" w:ascii="仿宋_GB2312" w:eastAsia="仿宋_GB2312" w:cs="仿宋_GB2312" w:hAnsiTheme="minorHAnsi"/>
          <w:color w:val="auto"/>
          <w:kern w:val="0"/>
          <w:sz w:val="32"/>
          <w:szCs w:val="32"/>
          <w:highlight w:val="none"/>
          <w:u w:val="none"/>
          <w:lang w:val="en-US" w:eastAsia="zh-CN"/>
        </w:rPr>
        <w:t>0</w:t>
      </w:r>
      <w:r>
        <w:rPr>
          <w:rFonts w:hint="eastAsia" w:ascii="仿宋" w:hAnsi="仿宋" w:eastAsia="仿宋"/>
          <w:color w:val="auto"/>
          <w:sz w:val="32"/>
          <w:szCs w:val="32"/>
          <w:highlight w:val="none"/>
        </w:rPr>
        <w:t>台（套），单位价值</w:t>
      </w:r>
      <w:r>
        <w:rPr>
          <w:rFonts w:ascii="仿宋" w:hAnsi="仿宋" w:eastAsia="仿宋"/>
          <w:color w:val="auto"/>
          <w:sz w:val="32"/>
          <w:szCs w:val="32"/>
          <w:highlight w:val="none"/>
        </w:rPr>
        <w:t>100</w:t>
      </w:r>
      <w:r>
        <w:rPr>
          <w:rFonts w:hint="eastAsia" w:ascii="仿宋" w:hAnsi="仿宋" w:eastAsia="仿宋"/>
          <w:color w:val="auto"/>
          <w:sz w:val="32"/>
          <w:szCs w:val="32"/>
          <w:highlight w:val="none"/>
        </w:rPr>
        <w:t>万</w:t>
      </w:r>
      <w:r>
        <w:rPr>
          <w:rFonts w:hint="eastAsia" w:ascii="仿宋" w:hAnsi="仿宋" w:eastAsia="仿宋"/>
          <w:color w:val="auto"/>
          <w:sz w:val="32"/>
          <w:szCs w:val="32"/>
          <w:highlight w:val="none"/>
          <w:lang w:eastAsia="zh-CN"/>
        </w:rPr>
        <w:t>元</w:t>
      </w:r>
      <w:r>
        <w:rPr>
          <w:rFonts w:hint="eastAsia" w:ascii="仿宋" w:hAnsi="仿宋" w:eastAsia="仿宋"/>
          <w:color w:val="auto"/>
          <w:sz w:val="32"/>
          <w:szCs w:val="32"/>
          <w:highlight w:val="none"/>
        </w:rPr>
        <w:t>以上专用设备</w:t>
      </w:r>
      <w:r>
        <w:rPr>
          <w:rFonts w:hint="eastAsia" w:ascii="仿宋_GB2312" w:eastAsia="仿宋_GB2312" w:cs="仿宋_GB2312" w:hAnsiTheme="minorHAnsi"/>
          <w:color w:val="auto"/>
          <w:kern w:val="0"/>
          <w:sz w:val="32"/>
          <w:szCs w:val="32"/>
          <w:highlight w:val="none"/>
          <w:u w:val="none"/>
          <w:lang w:val="en-US" w:eastAsia="zh-CN"/>
        </w:rPr>
        <w:t>0</w:t>
      </w:r>
      <w:r>
        <w:rPr>
          <w:rFonts w:hint="eastAsia" w:ascii="仿宋" w:hAnsi="仿宋" w:eastAsia="仿宋"/>
          <w:color w:val="auto"/>
          <w:sz w:val="32"/>
          <w:szCs w:val="32"/>
          <w:highlight w:val="none"/>
        </w:rPr>
        <w:t>台（套）。</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六、项目绩效目标情况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我委</w:t>
      </w:r>
      <w:r>
        <w:rPr>
          <w:rFonts w:hint="eastAsia" w:ascii="仿宋" w:hAnsi="仿宋" w:eastAsia="仿宋"/>
          <w:color w:val="auto"/>
          <w:sz w:val="32"/>
          <w:szCs w:val="32"/>
          <w:highlight w:val="none"/>
          <w:lang w:val="en-US" w:eastAsia="zh-CN"/>
        </w:rPr>
        <w:t>2026年无重点项目。</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七、其他需要什么情况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我委无政府债务情况。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jc w:val="both"/>
        <w:textAlignment w:val="auto"/>
        <w:rPr>
          <w:rFonts w:hint="eastAsia" w:ascii="方正小标宋简体" w:hAnsi="仿宋" w:eastAsia="方正小标宋简体"/>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第四部分</w:t>
      </w:r>
      <w:r>
        <w:rPr>
          <w:rFonts w:hint="eastAsia" w:ascii="方正小标宋简体" w:hAnsi="仿宋" w:eastAsia="方正小标宋简体"/>
          <w:color w:val="auto"/>
          <w:sz w:val="32"/>
          <w:szCs w:val="32"/>
          <w:highlight w:val="none"/>
          <w:lang w:val="en-US" w:eastAsia="zh-CN"/>
        </w:rPr>
        <w:t xml:space="preserve"> </w:t>
      </w:r>
      <w:r>
        <w:rPr>
          <w:rFonts w:hint="eastAsia" w:ascii="方正小标宋简体" w:hAnsi="仿宋" w:eastAsia="方正小标宋简体"/>
          <w:color w:val="auto"/>
          <w:sz w:val="32"/>
          <w:szCs w:val="32"/>
          <w:highlight w:val="none"/>
        </w:rPr>
        <w:t>名词解释</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rPr>
        <w:t>一、</w:t>
      </w:r>
      <w:r>
        <w:rPr>
          <w:rFonts w:hint="eastAsia" w:ascii="黑体" w:hAnsi="黑体" w:eastAsia="黑体"/>
          <w:color w:val="auto"/>
          <w:sz w:val="32"/>
          <w:szCs w:val="32"/>
          <w:highlight w:val="none"/>
          <w:lang w:val="en-US" w:eastAsia="zh-CN"/>
        </w:rPr>
        <w:t>财政</w:t>
      </w:r>
      <w:r>
        <w:rPr>
          <w:rFonts w:hint="eastAsia" w:ascii="黑体" w:hAnsi="黑体" w:eastAsia="黑体"/>
          <w:color w:val="auto"/>
          <w:sz w:val="32"/>
          <w:szCs w:val="32"/>
          <w:highlight w:val="none"/>
        </w:rPr>
        <w:t>拨款收入：</w:t>
      </w:r>
      <w:r>
        <w:rPr>
          <w:rFonts w:hint="eastAsia" w:ascii="仿宋" w:hAnsi="仿宋" w:eastAsia="仿宋"/>
          <w:color w:val="auto"/>
          <w:sz w:val="32"/>
          <w:szCs w:val="32"/>
          <w:highlight w:val="none"/>
        </w:rPr>
        <w:t>指财政部门当年拨付的资金。</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黑体" w:hAnsi="黑体" w:eastAsia="黑体"/>
          <w:color w:val="auto"/>
          <w:sz w:val="32"/>
          <w:szCs w:val="32"/>
          <w:highlight w:val="none"/>
        </w:rPr>
        <w:t>二、事业收入：</w:t>
      </w:r>
      <w:r>
        <w:rPr>
          <w:rFonts w:hint="eastAsia" w:ascii="仿宋" w:hAnsi="仿宋" w:eastAsia="仿宋"/>
          <w:color w:val="auto"/>
          <w:sz w:val="32"/>
          <w:szCs w:val="32"/>
          <w:highlight w:val="none"/>
        </w:rPr>
        <w:t>指事业单位开展专业业务活动及辅助活动所取得的收入。</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rPr>
        <w:t>三、经营收入：</w:t>
      </w:r>
      <w:r>
        <w:rPr>
          <w:rFonts w:hint="eastAsia" w:ascii="仿宋" w:hAnsi="仿宋" w:eastAsia="仿宋"/>
          <w:color w:val="auto"/>
          <w:sz w:val="32"/>
          <w:szCs w:val="32"/>
          <w:highlight w:val="none"/>
        </w:rPr>
        <w:t>指事业单位在专业业务活动及其辅助活动之外开展非独立核算经营活动取得的收入。</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黑体" w:hAnsi="黑体" w:eastAsia="黑体"/>
          <w:color w:val="auto"/>
          <w:sz w:val="32"/>
          <w:szCs w:val="32"/>
          <w:highlight w:val="none"/>
        </w:rPr>
        <w:t>四</w:t>
      </w:r>
      <w:r>
        <w:rPr>
          <w:rFonts w:ascii="黑体" w:hAnsi="黑体" w:eastAsia="黑体"/>
          <w:color w:val="auto"/>
          <w:sz w:val="32"/>
          <w:szCs w:val="32"/>
          <w:highlight w:val="none"/>
        </w:rPr>
        <w:t>、</w:t>
      </w:r>
      <w:r>
        <w:rPr>
          <w:rFonts w:hint="eastAsia" w:ascii="黑体" w:hAnsi="黑体" w:eastAsia="黑体"/>
          <w:color w:val="auto"/>
          <w:sz w:val="32"/>
          <w:szCs w:val="32"/>
          <w:highlight w:val="none"/>
        </w:rPr>
        <w:t>其他收入：</w:t>
      </w:r>
      <w:r>
        <w:rPr>
          <w:rFonts w:hint="eastAsia" w:ascii="仿宋" w:hAnsi="仿宋" w:eastAsia="仿宋"/>
          <w:color w:val="auto"/>
          <w:sz w:val="32"/>
          <w:szCs w:val="32"/>
          <w:highlight w:val="none"/>
        </w:rPr>
        <w:t>指除上述“</w:t>
      </w:r>
      <w:r>
        <w:rPr>
          <w:rFonts w:hint="eastAsia" w:ascii="仿宋" w:hAnsi="仿宋" w:eastAsia="仿宋"/>
          <w:color w:val="auto"/>
          <w:sz w:val="32"/>
          <w:szCs w:val="32"/>
          <w:highlight w:val="none"/>
          <w:lang w:val="en-US" w:eastAsia="zh-CN"/>
        </w:rPr>
        <w:t>财政</w:t>
      </w:r>
      <w:r>
        <w:rPr>
          <w:rFonts w:hint="eastAsia" w:ascii="仿宋" w:hAnsi="仿宋" w:eastAsia="仿宋"/>
          <w:color w:val="auto"/>
          <w:sz w:val="32"/>
          <w:szCs w:val="32"/>
          <w:highlight w:val="none"/>
        </w:rPr>
        <w:t>拨款收入”、“事业收入”、“事业单位经营收入”等以外的收入。主要是按规定动用的售房收入、存款利息收入等。</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ascii="黑体" w:hAnsi="黑体" w:eastAsia="黑体"/>
          <w:color w:val="auto"/>
          <w:sz w:val="32"/>
          <w:szCs w:val="32"/>
          <w:highlight w:val="none"/>
        </w:rPr>
        <w:t>五</w:t>
      </w:r>
      <w:r>
        <w:rPr>
          <w:rFonts w:hint="eastAsia" w:ascii="黑体" w:hAnsi="黑体" w:eastAsia="黑体"/>
          <w:color w:val="auto"/>
          <w:sz w:val="32"/>
          <w:szCs w:val="32"/>
          <w:highlight w:val="none"/>
        </w:rPr>
        <w:t>、上年结转：</w:t>
      </w:r>
      <w:r>
        <w:rPr>
          <w:rFonts w:hint="eastAsia" w:ascii="仿宋" w:hAnsi="仿宋" w:eastAsia="仿宋"/>
          <w:color w:val="auto"/>
          <w:sz w:val="32"/>
          <w:szCs w:val="32"/>
          <w:highlight w:val="none"/>
        </w:rPr>
        <w:t>指以前年度安排、结转到本年仍按原规定用途继续使用的资金。</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六</w:t>
      </w:r>
      <w:r>
        <w:rPr>
          <w:rFonts w:ascii="黑体" w:hAnsi="黑体" w:eastAsia="黑体"/>
          <w:color w:val="auto"/>
          <w:sz w:val="32"/>
          <w:szCs w:val="32"/>
          <w:highlight w:val="none"/>
        </w:rPr>
        <w:t>、</w:t>
      </w:r>
      <w:r>
        <w:rPr>
          <w:rFonts w:hint="eastAsia" w:ascii="黑体" w:hAnsi="黑体" w:eastAsia="黑体"/>
          <w:color w:val="auto"/>
          <w:sz w:val="32"/>
          <w:szCs w:val="32"/>
          <w:highlight w:val="none"/>
        </w:rPr>
        <w:t>用事业基金弥补收支差额:</w:t>
      </w:r>
      <w:r>
        <w:rPr>
          <w:rFonts w:hint="eastAsia" w:ascii="仿宋" w:hAnsi="仿宋" w:eastAsia="仿宋"/>
          <w:color w:val="auto"/>
          <w:sz w:val="32"/>
          <w:szCs w:val="32"/>
          <w:highlight w:val="none"/>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eastAsia" w:ascii="黑体" w:hAnsi="黑体" w:eastAsia="黑体"/>
          <w:color w:val="auto"/>
          <w:sz w:val="32"/>
          <w:szCs w:val="32"/>
          <w:highlight w:val="none"/>
        </w:rPr>
        <w:t>。</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cs="仿宋_GB2312" w:hAnsiTheme="minorHAnsi"/>
          <w:color w:val="auto"/>
          <w:kern w:val="0"/>
          <w:sz w:val="32"/>
          <w:szCs w:val="32"/>
          <w:highlight w:val="none"/>
        </w:rPr>
      </w:pPr>
      <w:r>
        <w:rPr>
          <w:rFonts w:hint="eastAsia" w:ascii="黑体" w:hAnsi="黑体" w:eastAsia="黑体"/>
          <w:color w:val="auto"/>
          <w:sz w:val="32"/>
          <w:szCs w:val="32"/>
          <w:highlight w:val="none"/>
          <w:lang w:val="en-US" w:eastAsia="zh-CN"/>
        </w:rPr>
        <w:t>七</w:t>
      </w:r>
      <w:r>
        <w:rPr>
          <w:rFonts w:ascii="黑体" w:hAnsi="黑体" w:eastAsia="黑体"/>
          <w:color w:val="auto"/>
          <w:sz w:val="32"/>
          <w:szCs w:val="32"/>
          <w:highlight w:val="none"/>
        </w:rPr>
        <w:t>、基本</w:t>
      </w:r>
      <w:r>
        <w:rPr>
          <w:rFonts w:hint="eastAsia" w:ascii="黑体" w:hAnsi="黑体" w:eastAsia="黑体"/>
          <w:color w:val="auto"/>
          <w:sz w:val="32"/>
          <w:szCs w:val="32"/>
          <w:highlight w:val="none"/>
        </w:rPr>
        <w:t>支出：</w:t>
      </w:r>
      <w:r>
        <w:rPr>
          <w:rFonts w:hint="eastAsia" w:ascii="仿宋" w:hAnsi="仿宋" w:eastAsia="仿宋"/>
          <w:color w:val="auto"/>
          <w:sz w:val="32"/>
          <w:szCs w:val="32"/>
          <w:highlight w:val="none"/>
        </w:rPr>
        <w:t>指为保障机构正常运转、完成日常工作任务而发生的人员支出和公用支出。</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lang w:val="en-US" w:eastAsia="zh-CN"/>
        </w:rPr>
        <w:t>八</w:t>
      </w:r>
      <w:r>
        <w:rPr>
          <w:rFonts w:ascii="黑体" w:hAnsi="黑体" w:eastAsia="黑体"/>
          <w:color w:val="auto"/>
          <w:sz w:val="32"/>
          <w:szCs w:val="32"/>
          <w:highlight w:val="none"/>
        </w:rPr>
        <w:t>、</w:t>
      </w:r>
      <w:r>
        <w:rPr>
          <w:rFonts w:hint="eastAsia" w:ascii="黑体" w:hAnsi="黑体" w:eastAsia="黑体"/>
          <w:color w:val="auto"/>
          <w:sz w:val="32"/>
          <w:szCs w:val="32"/>
          <w:highlight w:val="none"/>
        </w:rPr>
        <w:t>项目支出：</w:t>
      </w:r>
      <w:r>
        <w:rPr>
          <w:rFonts w:hint="eastAsia" w:ascii="仿宋" w:hAnsi="仿宋" w:eastAsia="仿宋"/>
          <w:color w:val="auto"/>
          <w:sz w:val="32"/>
          <w:szCs w:val="32"/>
          <w:highlight w:val="none"/>
        </w:rPr>
        <w:t>指在基本支出之外为完成特定行政任务或事业发展目标所发生的支出。</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cs="仿宋_GB2312" w:hAnsiTheme="minorHAnsi"/>
          <w:color w:val="auto"/>
          <w:kern w:val="0"/>
          <w:sz w:val="32"/>
          <w:szCs w:val="32"/>
          <w:highlight w:val="none"/>
        </w:rPr>
      </w:pPr>
      <w:r>
        <w:rPr>
          <w:rFonts w:hint="eastAsia" w:ascii="黑体" w:hAnsi="黑体" w:eastAsia="黑体"/>
          <w:color w:val="auto"/>
          <w:sz w:val="32"/>
          <w:szCs w:val="32"/>
          <w:highlight w:val="none"/>
          <w:lang w:val="en-US" w:eastAsia="zh-CN"/>
        </w:rPr>
        <w:t>九</w:t>
      </w:r>
      <w:r>
        <w:rPr>
          <w:rFonts w:ascii="黑体" w:hAnsi="黑体" w:eastAsia="黑体"/>
          <w:color w:val="auto"/>
          <w:sz w:val="32"/>
          <w:szCs w:val="32"/>
          <w:highlight w:val="none"/>
        </w:rPr>
        <w:t>、</w:t>
      </w:r>
      <w:r>
        <w:rPr>
          <w:rFonts w:hint="eastAsia" w:ascii="黑体" w:hAnsi="黑体" w:eastAsia="黑体"/>
          <w:color w:val="auto"/>
          <w:sz w:val="32"/>
          <w:szCs w:val="32"/>
          <w:highlight w:val="none"/>
        </w:rPr>
        <w:t>经营支出：</w:t>
      </w:r>
      <w:r>
        <w:rPr>
          <w:rFonts w:hint="eastAsia" w:ascii="仿宋" w:hAnsi="仿宋" w:eastAsia="仿宋"/>
          <w:color w:val="auto"/>
          <w:sz w:val="32"/>
          <w:szCs w:val="32"/>
          <w:highlight w:val="none"/>
        </w:rPr>
        <w:t>指事业单位在专业业务活动及其辅助活动之外开展非独立核算经营活动发生的支出。</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lang w:val="en-US" w:eastAsia="zh-CN"/>
        </w:rPr>
        <w:t>十、行政运行（</w:t>
      </w:r>
      <w:r>
        <w:rPr>
          <w:rFonts w:hint="eastAsia" w:ascii="黑体" w:hAnsi="黑体" w:eastAsia="黑体"/>
          <w:color w:val="auto"/>
          <w:sz w:val="32"/>
          <w:szCs w:val="32"/>
          <w:highlight w:val="none"/>
        </w:rPr>
        <w:t>机关运行经费</w:t>
      </w:r>
      <w:r>
        <w:rPr>
          <w:rFonts w:hint="eastAsia" w:ascii="黑体" w:hAnsi="黑体" w:eastAsia="黑体"/>
          <w:color w:val="auto"/>
          <w:sz w:val="32"/>
          <w:szCs w:val="32"/>
          <w:highlight w:val="none"/>
          <w:lang w:val="en-US" w:eastAsia="zh-CN"/>
        </w:rPr>
        <w:t>）</w:t>
      </w:r>
      <w:r>
        <w:rPr>
          <w:rFonts w:hint="eastAsia" w:ascii="黑体" w:hAnsi="黑体" w:eastAsia="黑体"/>
          <w:color w:val="auto"/>
          <w:sz w:val="32"/>
          <w:szCs w:val="32"/>
          <w:highlight w:val="none"/>
        </w:rPr>
        <w:t>：</w:t>
      </w:r>
      <w:r>
        <w:rPr>
          <w:rFonts w:hint="eastAsia" w:ascii="仿宋" w:hAnsi="仿宋" w:eastAsia="仿宋"/>
          <w:color w:val="auto"/>
          <w:sz w:val="32"/>
          <w:szCs w:val="32"/>
          <w:highlight w:val="none"/>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十一、“三公”经费：</w:t>
      </w:r>
      <w:r>
        <w:rPr>
          <w:rFonts w:hint="eastAsia" w:ascii="仿宋_GB2312" w:hAnsi="仿宋_GB2312" w:eastAsia="仿宋_GB2312" w:cs="仿宋_GB2312"/>
          <w:kern w:val="0"/>
          <w:sz w:val="32"/>
          <w:szCs w:val="32"/>
          <w:lang w:val="en-US" w:eastAsia="zh-CN" w:bidi="ar"/>
        </w:rPr>
        <w:t>是指部门用一般公共预算财政拨款安排的因公出国（境）费、公务用车购置及运行费和公务接待费。其中：因公出国（境）费反映单位公务出国（境）的国际旅费、国外城市间交通费、住宿费、伙食费、培训费、公杂费等支出，不含教学科研人员学术交流；公务用车购置及运行费反映单位公务用车车辆购置支出（含车辆购置税）及燃料费、维修费、过桥过路费、保险费、安全奖励费用等支出；公务接待费反映单位按规定开支的各类公务接待（含外宾接待）支出。</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lang w:val="en-US" w:eastAsia="zh-CN"/>
        </w:rPr>
        <w:t>十二、</w:t>
      </w:r>
      <w:r>
        <w:rPr>
          <w:rFonts w:hint="eastAsia" w:ascii="黑体" w:hAnsi="黑体" w:eastAsia="黑体"/>
          <w:color w:val="auto"/>
          <w:sz w:val="32"/>
          <w:szCs w:val="32"/>
          <w:highlight w:val="none"/>
        </w:rPr>
        <w:t>重点项目：</w:t>
      </w:r>
      <w:r>
        <w:rPr>
          <w:rFonts w:hint="eastAsia" w:ascii="仿宋" w:hAnsi="仿宋" w:eastAsia="仿宋"/>
          <w:color w:val="auto"/>
          <w:sz w:val="32"/>
          <w:szCs w:val="32"/>
          <w:highlight w:val="none"/>
        </w:rPr>
        <w:t>重点项目：贯彻落实自治区党委、政府重大方针政策和决策部署的项目，覆盖面广、影响力大、社会关注度高、实施期长的项目，与本部门职能职责密切相关的项目或预算安排支出相对较大的项目。</w:t>
      </w:r>
    </w:p>
    <w:sectPr>
      <w:headerReference r:id="rId3" w:type="default"/>
      <w:footerReference r:id="rId4" w:type="default"/>
      <w:footerReference r:id="rId5"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sz w:val="24"/>
        <w:szCs w:val="24"/>
      </w:rPr>
    </w:pP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12</w:t>
    </w:r>
    <w:r>
      <w:rPr>
        <w:rStyle w:val="10"/>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2E342"/>
    <w:multiLevelType w:val="singleLevel"/>
    <w:tmpl w:val="83F2E3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WJmMjU5YjBlZGNlM2M4MTc4M2JkNDQ1YzU1NmMifQ=="/>
  </w:docVars>
  <w:rsids>
    <w:rsidRoot w:val="400F3A49"/>
    <w:rsid w:val="03247659"/>
    <w:rsid w:val="07DD49A7"/>
    <w:rsid w:val="08977E2D"/>
    <w:rsid w:val="0B4B37A1"/>
    <w:rsid w:val="0D7A2C98"/>
    <w:rsid w:val="0F44530B"/>
    <w:rsid w:val="111644A2"/>
    <w:rsid w:val="11391A03"/>
    <w:rsid w:val="137D65B3"/>
    <w:rsid w:val="13C94031"/>
    <w:rsid w:val="158C3568"/>
    <w:rsid w:val="168E3310"/>
    <w:rsid w:val="17B47FAD"/>
    <w:rsid w:val="18E42BC2"/>
    <w:rsid w:val="1A835FBF"/>
    <w:rsid w:val="1ABD38BC"/>
    <w:rsid w:val="1AF62C28"/>
    <w:rsid w:val="1DF96735"/>
    <w:rsid w:val="200603BB"/>
    <w:rsid w:val="20DF2C4D"/>
    <w:rsid w:val="22227349"/>
    <w:rsid w:val="258E5CB0"/>
    <w:rsid w:val="27E85FAD"/>
    <w:rsid w:val="2C37319A"/>
    <w:rsid w:val="2E7C4DAF"/>
    <w:rsid w:val="31160C0E"/>
    <w:rsid w:val="35E851CD"/>
    <w:rsid w:val="381540F0"/>
    <w:rsid w:val="3B811C55"/>
    <w:rsid w:val="3D98319B"/>
    <w:rsid w:val="3E8E05B2"/>
    <w:rsid w:val="3F682D25"/>
    <w:rsid w:val="400F3A49"/>
    <w:rsid w:val="40EA362F"/>
    <w:rsid w:val="41CF5AE7"/>
    <w:rsid w:val="43596E64"/>
    <w:rsid w:val="43C5073D"/>
    <w:rsid w:val="450E114D"/>
    <w:rsid w:val="471548BC"/>
    <w:rsid w:val="48296376"/>
    <w:rsid w:val="487675FA"/>
    <w:rsid w:val="49D143C4"/>
    <w:rsid w:val="4A057C52"/>
    <w:rsid w:val="4BE64A79"/>
    <w:rsid w:val="522905F4"/>
    <w:rsid w:val="524A13AD"/>
    <w:rsid w:val="54A84FC1"/>
    <w:rsid w:val="56FC57AB"/>
    <w:rsid w:val="590E036C"/>
    <w:rsid w:val="595B564B"/>
    <w:rsid w:val="5B661732"/>
    <w:rsid w:val="5D771368"/>
    <w:rsid w:val="5F5F4E34"/>
    <w:rsid w:val="606D70BF"/>
    <w:rsid w:val="60857CE3"/>
    <w:rsid w:val="63861052"/>
    <w:rsid w:val="6A5B6B59"/>
    <w:rsid w:val="6DF53C9A"/>
    <w:rsid w:val="6E8B1663"/>
    <w:rsid w:val="6F49551F"/>
    <w:rsid w:val="70BE295F"/>
    <w:rsid w:val="70F568FC"/>
    <w:rsid w:val="72273F84"/>
    <w:rsid w:val="75DE10EC"/>
    <w:rsid w:val="75FF9F69"/>
    <w:rsid w:val="762FEC6F"/>
    <w:rsid w:val="763B581A"/>
    <w:rsid w:val="768B7F30"/>
    <w:rsid w:val="7903091A"/>
    <w:rsid w:val="793DA31A"/>
    <w:rsid w:val="7D635591"/>
    <w:rsid w:val="D1F7B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3879</Words>
  <Characters>4013</Characters>
  <Lines>0</Lines>
  <Paragraphs>0</Paragraphs>
  <TotalTime>232</TotalTime>
  <ScaleCrop>false</ScaleCrop>
  <LinksUpToDate>false</LinksUpToDate>
  <CharactersWithSpaces>4093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2024-05-06T18:20:00Z</dcterms:created>
  <dc:creator>啦啦啦啦</dc:creator>
  <cp:lastModifiedBy>妮妮</cp:lastModifiedBy>
  <cp:lastPrinted>2026-04-02T12:40:00Z</cp:lastPrinted>
  <dcterms:modified xsi:type="dcterms:W3CDTF">2026-04-02T17:58:25Z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D656D618F1594228AED5DB14DEAAFEA0_11</vt:lpwstr>
  </property>
  <property fmtid="{D5CDD505-2E9C-101B-9397-08002B2CF9AE}" pid="4" name="KSOTemplateDocerSaveRecord">
    <vt:lpwstr>eyJoZGlkIjoiMzQ5N2YzZjExMDBiZjVlZjFlMWY5NzAxYjg1YWMzODcifQ==</vt:lpwstr>
  </property>
</Properties>
</file>