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199" w:lineRule="auto"/>
        <w:ind w:left="871" w:right="47" w:hanging="851"/>
        <w:outlineLvl w:val="1"/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  <w:t>附件3：</w:t>
      </w:r>
    </w:p>
    <w:p>
      <w:pPr>
        <w:spacing w:before="114" w:line="199" w:lineRule="auto"/>
        <w:ind w:left="871" w:right="47" w:hanging="851"/>
        <w:jc w:val="center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6"/>
          <w:sz w:val="43"/>
          <w:szCs w:val="43"/>
        </w:rPr>
        <w:t>关于印发《不予处罚事项清单（试行）》《从</w:t>
      </w:r>
      <w:r>
        <w:rPr>
          <w:rFonts w:ascii="微软雅黑" w:hAnsi="微软雅黑" w:eastAsia="微软雅黑" w:cs="微软雅黑"/>
          <w:spacing w:val="-7"/>
          <w:sz w:val="43"/>
          <w:szCs w:val="43"/>
        </w:rPr>
        <w:t>轻处罚事项清单（试行）  》的通知</w:t>
      </w:r>
    </w:p>
    <w:p>
      <w:pPr>
        <w:spacing w:line="310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pStyle w:val="2"/>
        <w:spacing w:before="78" w:line="217" w:lineRule="auto"/>
        <w:ind w:left="25"/>
      </w:pPr>
      <w:r>
        <w:rPr>
          <w:color w:val="333333"/>
          <w:spacing w:val="-1"/>
        </w:rPr>
        <w:t>各地（市）国动办</w:t>
      </w:r>
    </w:p>
    <w:p>
      <w:pPr>
        <w:pStyle w:val="2"/>
        <w:spacing w:before="294" w:line="443" w:lineRule="auto"/>
        <w:ind w:left="28" w:firstLine="534"/>
        <w:jc w:val="both"/>
      </w:pPr>
      <w:r>
        <w:rPr>
          <w:color w:val="333333"/>
          <w:spacing w:val="-5"/>
        </w:rPr>
        <w:t>为严格规范行政处罚行为，探索推行包容审慎监管制度，依法推</w:t>
      </w:r>
      <w:r>
        <w:rPr>
          <w:color w:val="333333"/>
          <w:spacing w:val="-6"/>
        </w:rPr>
        <w:t>动落实“首</w:t>
      </w:r>
      <w:r>
        <w:rPr>
          <w:color w:val="333333"/>
          <w:spacing w:val="-4"/>
        </w:rPr>
        <w:t>违免罚、轻微不罚”，激发市场活力。根据《</w:t>
      </w:r>
      <w:r>
        <w:rPr>
          <w:rFonts w:hint="eastAsia"/>
          <w:color w:val="333333"/>
          <w:spacing w:val="-4"/>
          <w:lang w:eastAsia="zh-CN"/>
        </w:rPr>
        <w:t>中华人民共和国</w:t>
      </w:r>
      <w:r>
        <w:rPr>
          <w:color w:val="333333"/>
          <w:spacing w:val="-4"/>
        </w:rPr>
        <w:t>行政处罚法》《人民防空法》《西藏自治区实施</w:t>
      </w:r>
      <w:r>
        <w:rPr>
          <w:rFonts w:hint="eastAsia"/>
          <w:color w:val="333333"/>
          <w:spacing w:val="-4"/>
          <w:lang w:val="en-US" w:eastAsia="zh-CN"/>
        </w:rPr>
        <w:t>&lt;</w:t>
      </w:r>
      <w:r>
        <w:rPr>
          <w:color w:val="333333"/>
          <w:spacing w:val="-4"/>
        </w:rPr>
        <w:t>人民防空法</w:t>
      </w:r>
      <w:r>
        <w:rPr>
          <w:rFonts w:hint="eastAsia"/>
          <w:color w:val="333333"/>
          <w:spacing w:val="-4"/>
          <w:lang w:val="en-US" w:eastAsia="zh-CN"/>
        </w:rPr>
        <w:t>&gt;</w:t>
      </w:r>
      <w:r>
        <w:rPr>
          <w:color w:val="333333"/>
          <w:spacing w:val="-4"/>
        </w:rPr>
        <w:t>办法》《优化营商环境条例》和《西藏自治区人民防</w:t>
      </w:r>
      <w:r>
        <w:rPr>
          <w:color w:val="333333"/>
          <w:spacing w:val="-6"/>
        </w:rPr>
        <w:t>空工程行政处罚裁量基准（试行）》等有关法律法规规定，</w:t>
      </w:r>
      <w:r>
        <w:rPr>
          <w:color w:val="333333"/>
          <w:spacing w:val="-25"/>
        </w:rPr>
        <w:t xml:space="preserve"> </w:t>
      </w:r>
      <w:r>
        <w:rPr>
          <w:color w:val="333333"/>
          <w:spacing w:val="-6"/>
        </w:rPr>
        <w:t>结合全区人防行政执</w:t>
      </w:r>
      <w:r>
        <w:rPr>
          <w:color w:val="333333"/>
          <w:spacing w:val="-2"/>
        </w:rPr>
        <w:t>法实际，制定《不予处罚事项清单（试行）》《从轻处罚事项清单（试行）》。</w:t>
      </w:r>
      <w:r>
        <w:rPr>
          <w:color w:val="333333"/>
          <w:spacing w:val="-3"/>
        </w:rPr>
        <w:t>现印发给你们，请各单位结合实际贯彻落实。</w:t>
      </w:r>
    </w:p>
    <w:p>
      <w:pPr>
        <w:pStyle w:val="2"/>
        <w:spacing w:line="215" w:lineRule="auto"/>
        <w:ind w:left="523"/>
      </w:pPr>
      <w:r>
        <w:rPr>
          <w:color w:val="333333"/>
          <w:spacing w:val="-2"/>
        </w:rPr>
        <w:t>附件：1.不予处罚事项清单（试行）</w:t>
      </w:r>
    </w:p>
    <w:p>
      <w:pPr>
        <w:pStyle w:val="2"/>
        <w:spacing w:before="295" w:line="216" w:lineRule="auto"/>
        <w:ind w:left="1235"/>
      </w:pPr>
      <w:r>
        <w:rPr>
          <w:color w:val="333333"/>
          <w:spacing w:val="-2"/>
        </w:rPr>
        <w:t>2.从轻处罚事项清单（试行）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79" w:line="217" w:lineRule="auto"/>
        <w:ind w:left="5077"/>
      </w:pPr>
      <w:r>
        <w:rPr>
          <w:color w:val="333333"/>
          <w:spacing w:val="-2"/>
        </w:rPr>
        <w:t>西藏自治区国防动员办公室</w:t>
      </w:r>
    </w:p>
    <w:p>
      <w:pPr>
        <w:pStyle w:val="2"/>
        <w:spacing w:before="293" w:line="217" w:lineRule="auto"/>
        <w:ind w:left="5795"/>
      </w:pPr>
      <w:r>
        <w:rPr>
          <w:color w:val="333333"/>
          <w:spacing w:val="-11"/>
        </w:rPr>
        <w:t>2023</w:t>
      </w:r>
      <w:r>
        <w:rPr>
          <w:color w:val="333333"/>
          <w:spacing w:val="-41"/>
        </w:rPr>
        <w:t xml:space="preserve"> </w:t>
      </w:r>
      <w:r>
        <w:rPr>
          <w:color w:val="333333"/>
          <w:spacing w:val="-11"/>
        </w:rPr>
        <w:t>年</w:t>
      </w:r>
      <w:r>
        <w:rPr>
          <w:color w:val="333333"/>
          <w:spacing w:val="-38"/>
        </w:rPr>
        <w:t xml:space="preserve"> </w:t>
      </w:r>
      <w:r>
        <w:rPr>
          <w:color w:val="333333"/>
          <w:spacing w:val="-11"/>
        </w:rPr>
        <w:t>5</w:t>
      </w:r>
      <w:r>
        <w:rPr>
          <w:color w:val="333333"/>
          <w:spacing w:val="-38"/>
        </w:rPr>
        <w:t xml:space="preserve"> </w:t>
      </w:r>
      <w:r>
        <w:rPr>
          <w:color w:val="333333"/>
          <w:spacing w:val="-11"/>
        </w:rPr>
        <w:t>月</w:t>
      </w:r>
      <w:r>
        <w:rPr>
          <w:color w:val="333333"/>
          <w:spacing w:val="-39"/>
        </w:rPr>
        <w:t xml:space="preserve"> </w:t>
      </w:r>
      <w:r>
        <w:rPr>
          <w:color w:val="333333"/>
          <w:spacing w:val="-11"/>
        </w:rPr>
        <w:t>5 日</w:t>
      </w:r>
    </w:p>
    <w:p>
      <w:pPr>
        <w:spacing w:line="217" w:lineRule="auto"/>
        <w:sectPr>
          <w:footerReference r:id="rId5" w:type="default"/>
          <w:pgSz w:w="11905" w:h="16839"/>
          <w:pgMar w:top="1431" w:right="1756" w:bottom="827" w:left="1785" w:header="0" w:footer="568" w:gutter="0"/>
          <w:cols w:space="720" w:num="1"/>
        </w:sectPr>
      </w:pPr>
    </w:p>
    <w:p>
      <w:pPr>
        <w:spacing w:before="128" w:line="224" w:lineRule="auto"/>
        <w:ind w:left="108"/>
        <w:outlineLvl w:val="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8"/>
          <w:sz w:val="24"/>
          <w:szCs w:val="24"/>
        </w:rPr>
        <w:t>附件</w:t>
      </w:r>
      <w:r>
        <w:rPr>
          <w:rFonts w:ascii="黑体" w:hAnsi="黑体" w:eastAsia="黑体" w:cs="黑体"/>
          <w:spacing w:val="-38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8"/>
          <w:sz w:val="24"/>
          <w:szCs w:val="24"/>
        </w:rPr>
        <w:t>1</w:t>
      </w:r>
    </w:p>
    <w:p>
      <w:pPr>
        <w:spacing w:before="148" w:line="169" w:lineRule="auto"/>
        <w:ind w:left="1540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1"/>
          <w:sz w:val="43"/>
          <w:szCs w:val="43"/>
        </w:rPr>
        <w:t>不予处罚事项清单（试行）</w:t>
      </w:r>
    </w:p>
    <w:tbl>
      <w:tblPr>
        <w:tblStyle w:val="6"/>
        <w:tblW w:w="8330" w:type="dxa"/>
        <w:tblInd w:w="6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391"/>
        <w:gridCol w:w="962"/>
        <w:gridCol w:w="1781"/>
        <w:gridCol w:w="2571"/>
        <w:gridCol w:w="9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0" w:hRule="atLeast"/>
        </w:trPr>
        <w:tc>
          <w:tcPr>
            <w:tcW w:w="674" w:type="dxa"/>
            <w:vAlign w:val="top"/>
          </w:tcPr>
          <w:p>
            <w:pPr>
              <w:pStyle w:val="5"/>
              <w:spacing w:before="139" w:line="217" w:lineRule="auto"/>
              <w:ind w:left="141"/>
            </w:pPr>
            <w:r>
              <w:rPr>
                <w:spacing w:val="-2"/>
              </w:rPr>
              <w:t>序号</w:t>
            </w:r>
          </w:p>
        </w:tc>
        <w:tc>
          <w:tcPr>
            <w:tcW w:w="1391" w:type="dxa"/>
            <w:vAlign w:val="top"/>
          </w:tcPr>
          <w:p>
            <w:pPr>
              <w:pStyle w:val="5"/>
              <w:spacing w:before="138" w:line="216" w:lineRule="auto"/>
              <w:ind w:left="71"/>
            </w:pPr>
            <w:r>
              <w:rPr>
                <w:spacing w:val="-1"/>
              </w:rPr>
              <w:t>行政处罚事项</w:t>
            </w:r>
          </w:p>
        </w:tc>
        <w:tc>
          <w:tcPr>
            <w:tcW w:w="962" w:type="dxa"/>
            <w:vAlign w:val="top"/>
          </w:tcPr>
          <w:p>
            <w:pPr>
              <w:pStyle w:val="5"/>
              <w:spacing w:before="139" w:line="217" w:lineRule="auto"/>
              <w:ind w:left="114"/>
            </w:pPr>
            <w:r>
              <w:rPr>
                <w:spacing w:val="-4"/>
              </w:rPr>
              <w:t>实施机关</w:t>
            </w:r>
          </w:p>
        </w:tc>
        <w:tc>
          <w:tcPr>
            <w:tcW w:w="1781" w:type="dxa"/>
            <w:vAlign w:val="top"/>
          </w:tcPr>
          <w:p>
            <w:pPr>
              <w:pStyle w:val="5"/>
              <w:spacing w:before="139" w:line="217" w:lineRule="auto"/>
              <w:ind w:left="160"/>
            </w:pPr>
            <w:r>
              <w:rPr>
                <w:spacing w:val="-2"/>
              </w:rPr>
              <w:t>不予处罚适用条件</w:t>
            </w:r>
          </w:p>
        </w:tc>
        <w:tc>
          <w:tcPr>
            <w:tcW w:w="2571" w:type="dxa"/>
            <w:vAlign w:val="top"/>
          </w:tcPr>
          <w:p>
            <w:pPr>
              <w:pStyle w:val="5"/>
              <w:spacing w:before="139" w:line="217" w:lineRule="auto"/>
              <w:ind w:left="916"/>
            </w:pPr>
            <w:r>
              <w:rPr>
                <w:spacing w:val="-3"/>
              </w:rPr>
              <w:t>法律依据</w:t>
            </w:r>
          </w:p>
        </w:tc>
        <w:tc>
          <w:tcPr>
            <w:tcW w:w="951" w:type="dxa"/>
            <w:vAlign w:val="top"/>
          </w:tcPr>
          <w:p>
            <w:pPr>
              <w:pStyle w:val="5"/>
              <w:spacing w:before="139" w:line="219" w:lineRule="auto"/>
              <w:ind w:left="277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24" w:hRule="atLeast"/>
        </w:trPr>
        <w:tc>
          <w:tcPr>
            <w:tcW w:w="67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37" w:lineRule="auto"/>
              <w:ind w:left="288"/>
            </w:pPr>
            <w:r>
              <w:t>1</w:t>
            </w:r>
          </w:p>
        </w:tc>
        <w:tc>
          <w:tcPr>
            <w:tcW w:w="1391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326" w:lineRule="auto"/>
              <w:ind w:left="71" w:right="61" w:firstLine="18"/>
              <w:jc w:val="both"/>
            </w:pPr>
            <w:r>
              <w:rPr>
                <w:spacing w:val="-4"/>
              </w:rPr>
              <w:t>阻挠安装人民防</w:t>
            </w:r>
            <w:r>
              <w:rPr>
                <w:spacing w:val="-2"/>
              </w:rPr>
              <w:t>空通信、警报设</w:t>
            </w:r>
            <w:r>
              <w:rPr>
                <w:spacing w:val="-8"/>
              </w:rPr>
              <w:t>施，拒不改正的</w:t>
            </w:r>
          </w:p>
        </w:tc>
        <w:tc>
          <w:tcPr>
            <w:tcW w:w="96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326" w:lineRule="auto"/>
              <w:ind w:left="285" w:right="114" w:hanging="154"/>
            </w:pPr>
            <w:r>
              <w:rPr>
                <w:spacing w:val="-3"/>
              </w:rPr>
              <w:t>人防主管</w:t>
            </w:r>
            <w:r>
              <w:rPr>
                <w:spacing w:val="-2"/>
              </w:rPr>
              <w:t>部门</w:t>
            </w:r>
          </w:p>
        </w:tc>
        <w:tc>
          <w:tcPr>
            <w:tcW w:w="178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325" w:lineRule="auto"/>
              <w:ind w:left="83" w:right="83" w:hanging="2"/>
            </w:pPr>
            <w:r>
              <w:rPr>
                <w:spacing w:val="-1"/>
              </w:rPr>
              <w:t>积极配合人防部门查</w:t>
            </w:r>
            <w:r>
              <w:rPr>
                <w:spacing w:val="-2"/>
              </w:rPr>
              <w:t>处其违法行为且在行政处罚决定</w:t>
            </w:r>
            <w:r>
              <w:rPr>
                <w:rFonts w:hint="eastAsia"/>
                <w:spacing w:val="-2"/>
                <w:lang w:eastAsia="zh-CN"/>
              </w:rPr>
              <w:t>作</w:t>
            </w:r>
            <w:r>
              <w:rPr>
                <w:spacing w:val="-2"/>
              </w:rPr>
              <w:t>出之</w:t>
            </w:r>
          </w:p>
          <w:p>
            <w:pPr>
              <w:pStyle w:val="5"/>
              <w:spacing w:before="1" w:line="325" w:lineRule="auto"/>
              <w:ind w:left="85" w:right="9" w:hanging="1"/>
            </w:pPr>
            <w:r>
              <w:rPr>
                <w:spacing w:val="-2"/>
              </w:rPr>
              <w:t>前，积极主动改正违</w:t>
            </w:r>
            <w:r>
              <w:rPr>
                <w:spacing w:val="-12"/>
              </w:rPr>
              <w:t>法行为，情节轻微的。</w:t>
            </w:r>
          </w:p>
        </w:tc>
        <w:tc>
          <w:tcPr>
            <w:tcW w:w="2571" w:type="dxa"/>
            <w:vAlign w:val="top"/>
          </w:tcPr>
          <w:p>
            <w:pPr>
              <w:pStyle w:val="5"/>
              <w:spacing w:before="130" w:line="326" w:lineRule="auto"/>
              <w:ind w:left="79" w:hanging="2"/>
            </w:pPr>
            <w:r>
              <w:rPr>
                <w:spacing w:val="-3"/>
              </w:rPr>
              <w:t>《中华人民共和国人民防空法》第四十九条有下列行为之一的，由县级以上人民防空主管部门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对当事人给予警告，并责令限期改正违法行为，可以对个人并处五千元以下的罚款、对单位并处一万元至五万元的罚款；造成损</w:t>
            </w:r>
            <w:r>
              <w:rPr>
                <w:spacing w:val="-16"/>
              </w:rPr>
              <w:t>失的，应当依法赔偿损失</w:t>
            </w:r>
            <w:r>
              <w:rPr>
                <w:spacing w:val="-4"/>
              </w:rPr>
              <w:t>：（</w:t>
            </w:r>
            <w:r>
              <w:rPr>
                <w:spacing w:val="-16"/>
              </w:rPr>
              <w:t>六）</w:t>
            </w:r>
            <w:r>
              <w:rPr>
                <w:spacing w:val="-9"/>
              </w:rPr>
              <w:t>阻挠安装人民防空通信、警报设</w:t>
            </w:r>
            <w:r>
              <w:rPr>
                <w:spacing w:val="-7"/>
              </w:rPr>
              <w:t>施，拒不改正的。</w:t>
            </w: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35" w:lineRule="auto"/>
        <w:rPr>
          <w:rFonts w:ascii="Arial"/>
          <w:sz w:val="21"/>
        </w:rPr>
      </w:pPr>
    </w:p>
    <w:p>
      <w:pPr>
        <w:spacing w:line="335" w:lineRule="auto"/>
        <w:rPr>
          <w:rFonts w:ascii="Arial"/>
          <w:sz w:val="21"/>
        </w:rPr>
      </w:pPr>
    </w:p>
    <w:p>
      <w:pPr>
        <w:spacing w:before="78" w:line="224" w:lineRule="auto"/>
        <w:ind w:left="108"/>
        <w:outlineLvl w:val="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8"/>
          <w:sz w:val="24"/>
          <w:szCs w:val="24"/>
        </w:rPr>
        <w:t>附件</w:t>
      </w:r>
      <w:r>
        <w:rPr>
          <w:rFonts w:ascii="黑体" w:hAnsi="黑体" w:eastAsia="黑体" w:cs="黑体"/>
          <w:spacing w:val="-53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8"/>
          <w:sz w:val="24"/>
          <w:szCs w:val="24"/>
        </w:rPr>
        <w:t>2</w:t>
      </w:r>
    </w:p>
    <w:p>
      <w:pPr>
        <w:spacing w:before="149" w:line="169" w:lineRule="auto"/>
        <w:ind w:left="1538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1"/>
          <w:sz w:val="43"/>
          <w:szCs w:val="43"/>
        </w:rPr>
        <w:t>从轻处罚事项清单（试行）</w:t>
      </w:r>
    </w:p>
    <w:tbl>
      <w:tblPr>
        <w:tblStyle w:val="6"/>
        <w:tblW w:w="8447" w:type="dxa"/>
        <w:tblInd w:w="5" w:type="dxa"/>
        <w:tblBorders>
          <w:top w:val="single" w:color="76746C" w:sz="4" w:space="0"/>
          <w:left w:val="single" w:color="76746C" w:sz="4" w:space="0"/>
          <w:bottom w:val="single" w:color="76746C" w:sz="4" w:space="0"/>
          <w:right w:val="single" w:color="76746C" w:sz="4" w:space="0"/>
          <w:insideH w:val="single" w:color="76746C" w:sz="4" w:space="0"/>
          <w:insideV w:val="single" w:color="76746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1350"/>
        <w:gridCol w:w="948"/>
        <w:gridCol w:w="1730"/>
        <w:gridCol w:w="2826"/>
        <w:gridCol w:w="830"/>
      </w:tblGrid>
      <w:tr>
        <w:tblPrEx>
          <w:tblBorders>
            <w:top w:val="single" w:color="76746C" w:sz="4" w:space="0"/>
            <w:left w:val="single" w:color="76746C" w:sz="4" w:space="0"/>
            <w:bottom w:val="single" w:color="76746C" w:sz="4" w:space="0"/>
            <w:right w:val="single" w:color="76746C" w:sz="4" w:space="0"/>
            <w:insideH w:val="single" w:color="76746C" w:sz="4" w:space="0"/>
            <w:insideV w:val="single" w:color="76746C" w:sz="4" w:space="0"/>
          </w:tblBorders>
        </w:tblPrEx>
        <w:trPr>
          <w:trHeight w:val="456" w:hRule="atLeast"/>
        </w:trPr>
        <w:tc>
          <w:tcPr>
            <w:tcW w:w="763" w:type="dxa"/>
            <w:tcBorders>
              <w:top w:val="single" w:color="ECE9D8" w:sz="4" w:space="0"/>
              <w:left w:val="single" w:color="ECE9D8" w:sz="4" w:space="0"/>
            </w:tcBorders>
            <w:vAlign w:val="top"/>
          </w:tcPr>
          <w:p>
            <w:pPr>
              <w:pStyle w:val="5"/>
              <w:spacing w:before="144" w:line="217" w:lineRule="auto"/>
              <w:ind w:left="181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350" w:type="dxa"/>
            <w:vAlign w:val="top"/>
          </w:tcPr>
          <w:p>
            <w:pPr>
              <w:pStyle w:val="5"/>
              <w:spacing w:before="144" w:line="216" w:lineRule="auto"/>
              <w:ind w:left="109"/>
            </w:pPr>
            <w:r>
              <w:rPr>
                <w:b/>
                <w:bCs/>
                <w:spacing w:val="-3"/>
              </w:rPr>
              <w:t>行政处罚事项</w:t>
            </w:r>
          </w:p>
        </w:tc>
        <w:tc>
          <w:tcPr>
            <w:tcW w:w="948" w:type="dxa"/>
            <w:vAlign w:val="top"/>
          </w:tcPr>
          <w:p>
            <w:pPr>
              <w:pStyle w:val="5"/>
              <w:spacing w:before="144" w:line="217" w:lineRule="auto"/>
              <w:ind w:left="102"/>
            </w:pPr>
            <w:r>
              <w:rPr>
                <w:b/>
                <w:bCs/>
                <w:spacing w:val="-6"/>
              </w:rPr>
              <w:t>实施机关</w:t>
            </w:r>
          </w:p>
        </w:tc>
        <w:tc>
          <w:tcPr>
            <w:tcW w:w="1730" w:type="dxa"/>
            <w:vAlign w:val="top"/>
          </w:tcPr>
          <w:p>
            <w:pPr>
              <w:pStyle w:val="5"/>
              <w:spacing w:before="144" w:line="217" w:lineRule="auto"/>
              <w:ind w:left="133"/>
            </w:pPr>
            <w:r>
              <w:rPr>
                <w:b/>
                <w:bCs/>
                <w:spacing w:val="-3"/>
              </w:rPr>
              <w:t>从轻处罚适用条件</w:t>
            </w:r>
          </w:p>
        </w:tc>
        <w:tc>
          <w:tcPr>
            <w:tcW w:w="2826" w:type="dxa"/>
            <w:vAlign w:val="top"/>
          </w:tcPr>
          <w:p>
            <w:pPr>
              <w:pStyle w:val="5"/>
              <w:spacing w:before="144" w:line="217" w:lineRule="auto"/>
              <w:ind w:left="1043"/>
            </w:pPr>
            <w:r>
              <w:rPr>
                <w:b/>
                <w:bCs/>
                <w:spacing w:val="-5"/>
              </w:rPr>
              <w:t>法律依据</w:t>
            </w:r>
          </w:p>
        </w:tc>
        <w:tc>
          <w:tcPr>
            <w:tcW w:w="830" w:type="dxa"/>
            <w:vAlign w:val="top"/>
          </w:tcPr>
          <w:p>
            <w:pPr>
              <w:pStyle w:val="5"/>
              <w:spacing w:before="144" w:line="219" w:lineRule="auto"/>
              <w:ind w:left="214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>
        <w:tblPrEx>
          <w:tblBorders>
            <w:top w:val="single" w:color="76746C" w:sz="4" w:space="0"/>
            <w:left w:val="single" w:color="76746C" w:sz="4" w:space="0"/>
            <w:bottom w:val="single" w:color="76746C" w:sz="4" w:space="0"/>
            <w:right w:val="single" w:color="76746C" w:sz="4" w:space="0"/>
            <w:insideH w:val="single" w:color="76746C" w:sz="4" w:space="0"/>
            <w:insideV w:val="single" w:color="76746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8" w:hRule="atLeast"/>
        </w:trPr>
        <w:tc>
          <w:tcPr>
            <w:tcW w:w="76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37" w:lineRule="auto"/>
              <w:ind w:left="511"/>
            </w:pPr>
            <w:r>
              <w:t>1</w:t>
            </w:r>
          </w:p>
        </w:tc>
        <w:tc>
          <w:tcPr>
            <w:tcW w:w="1350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326" w:lineRule="auto"/>
              <w:ind w:left="65" w:right="54" w:firstLine="34"/>
            </w:pPr>
            <w:r>
              <w:rPr>
                <w:spacing w:val="-6"/>
              </w:rPr>
              <w:t>占用人民防空通信专用频率、</w:t>
            </w:r>
            <w:r>
              <w:rPr>
                <w:spacing w:val="-1"/>
              </w:rPr>
              <w:t>使用与防空警报相同的音响信号或者擅自拆除人民防空</w:t>
            </w:r>
            <w:r>
              <w:rPr>
                <w:spacing w:val="-8"/>
              </w:rPr>
              <w:t>通信、警报设施</w:t>
            </w:r>
            <w:r>
              <w:t>的</w:t>
            </w:r>
          </w:p>
        </w:tc>
        <w:tc>
          <w:tcPr>
            <w:tcW w:w="94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326" w:lineRule="auto"/>
              <w:ind w:left="275" w:right="105" w:hanging="154"/>
            </w:pPr>
            <w:r>
              <w:rPr>
                <w:spacing w:val="-3"/>
              </w:rPr>
              <w:t>人防主管</w:t>
            </w:r>
            <w:r>
              <w:rPr>
                <w:spacing w:val="-2"/>
              </w:rPr>
              <w:t>部门</w:t>
            </w:r>
          </w:p>
        </w:tc>
        <w:tc>
          <w:tcPr>
            <w:tcW w:w="173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326" w:lineRule="auto"/>
              <w:ind w:left="84" w:right="56" w:firstLine="2"/>
            </w:pPr>
            <w:r>
              <w:rPr>
                <w:spacing w:val="-5"/>
              </w:rPr>
              <w:t>平时，积极配合人民</w:t>
            </w:r>
            <w:r>
              <w:rPr>
                <w:spacing w:val="-1"/>
              </w:rPr>
              <w:t>防空主管部门查处其违法行为且在立案之前主动改正违法行为，情</w:t>
            </w:r>
            <w:r>
              <w:rPr>
                <w:rFonts w:hint="eastAsia"/>
                <w:spacing w:val="-1"/>
                <w:lang w:eastAsia="zh-CN"/>
              </w:rPr>
              <w:t>节</w:t>
            </w:r>
            <w:r>
              <w:rPr>
                <w:spacing w:val="-1"/>
              </w:rPr>
              <w:t>轻微</w:t>
            </w:r>
            <w:r>
              <w:rPr>
                <w:spacing w:val="-11"/>
              </w:rPr>
              <w:t>的。</w:t>
            </w:r>
          </w:p>
        </w:tc>
        <w:tc>
          <w:tcPr>
            <w:tcW w:w="2826" w:type="dxa"/>
            <w:vAlign w:val="top"/>
          </w:tcPr>
          <w:p>
            <w:pPr>
              <w:pStyle w:val="5"/>
              <w:spacing w:before="138" w:line="325" w:lineRule="auto"/>
              <w:ind w:left="86" w:right="62" w:hanging="4"/>
            </w:pPr>
            <w:r>
              <w:rPr>
                <w:spacing w:val="-2"/>
              </w:rPr>
              <w:t>《中华人民共和国人民防空法》第</w:t>
            </w:r>
            <w:r>
              <w:rPr>
                <w:spacing w:val="-1"/>
              </w:rPr>
              <w:t>四十九条 有下列行为之一的，由县级以上人民防空主管部门对当</w:t>
            </w:r>
            <w:r>
              <w:rPr>
                <w:spacing w:val="-3"/>
              </w:rPr>
              <w:t>事人给予警告，并责令限期改正违法行为，可以对个人并处五千元以下的罚款、对单位并处一万元至五万元的罚款；造成损失的，应当依</w:t>
            </w:r>
          </w:p>
          <w:p>
            <w:pPr>
              <w:pStyle w:val="5"/>
              <w:spacing w:before="2" w:line="324" w:lineRule="auto"/>
              <w:ind w:left="88" w:right="62" w:firstLine="1"/>
            </w:pPr>
            <w:r>
              <w:rPr>
                <w:spacing w:val="-4"/>
              </w:rPr>
              <w:t>法赔偿损失</w:t>
            </w:r>
            <w:r>
              <w:rPr>
                <w:spacing w:val="5"/>
              </w:rPr>
              <w:t>：（</w:t>
            </w:r>
            <w:r>
              <w:rPr>
                <w:spacing w:val="-4"/>
              </w:rPr>
              <w:t>五）占用人民防空</w:t>
            </w:r>
            <w:r>
              <w:rPr>
                <w:spacing w:val="-3"/>
              </w:rPr>
              <w:t>通信专用频率、使用与防空警报相</w:t>
            </w:r>
            <w:r>
              <w:rPr>
                <w:spacing w:val="-1"/>
              </w:rPr>
              <w:t>同的音响信号或者擅自拆除人民</w:t>
            </w:r>
            <w:r>
              <w:rPr>
                <w:spacing w:val="-4"/>
              </w:rPr>
              <w:t>防空通信、警报设备设施的。</w:t>
            </w: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bookmarkStart w:id="0" w:name="_GoBack"/>
      <w:bookmarkEnd w:id="0"/>
    </w:p>
    <w:sectPr>
      <w:footerReference r:id="rId6" w:type="default"/>
      <w:pgSz w:w="11905" w:h="16839"/>
      <w:pgMar w:top="1431" w:right="1730" w:bottom="827" w:left="1716" w:header="0" w:footer="56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ind w:left="3672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3"/>
        <w:sz w:val="20"/>
        <w:szCs w:val="20"/>
      </w:rPr>
      <w:t>—</w:t>
    </w:r>
    <w:r>
      <w:rPr>
        <w:rFonts w:ascii="宋体" w:hAnsi="宋体" w:eastAsia="宋体" w:cs="宋体"/>
        <w:spacing w:val="11"/>
        <w:sz w:val="20"/>
        <w:szCs w:val="20"/>
      </w:rPr>
      <w:t xml:space="preserve"> </w:t>
    </w:r>
    <w:r>
      <w:rPr>
        <w:rFonts w:ascii="宋体" w:hAnsi="宋体" w:eastAsia="宋体" w:cs="宋体"/>
        <w:spacing w:val="-3"/>
        <w:sz w:val="20"/>
        <w:szCs w:val="20"/>
      </w:rPr>
      <w:t>3511</w:t>
    </w:r>
    <w:r>
      <w:rPr>
        <w:rFonts w:ascii="宋体" w:hAnsi="宋体" w:eastAsia="宋体" w:cs="宋体"/>
        <w:spacing w:val="6"/>
        <w:sz w:val="20"/>
        <w:szCs w:val="20"/>
      </w:rPr>
      <w:t xml:space="preserve"> </w:t>
    </w:r>
    <w:r>
      <w:rPr>
        <w:rFonts w:ascii="宋体" w:hAnsi="宋体" w:eastAsia="宋体" w:cs="宋体"/>
        <w:spacing w:val="-3"/>
        <w:sz w:val="20"/>
        <w:szCs w:val="2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ind w:left="3741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3"/>
        <w:sz w:val="20"/>
        <w:szCs w:val="20"/>
      </w:rPr>
      <w:t>—</w:t>
    </w:r>
    <w:r>
      <w:rPr>
        <w:rFonts w:ascii="宋体" w:hAnsi="宋体" w:eastAsia="宋体" w:cs="宋体"/>
        <w:spacing w:val="11"/>
        <w:sz w:val="20"/>
        <w:szCs w:val="20"/>
      </w:rPr>
      <w:t xml:space="preserve"> </w:t>
    </w:r>
    <w:r>
      <w:rPr>
        <w:rFonts w:ascii="宋体" w:hAnsi="宋体" w:eastAsia="宋体" w:cs="宋体"/>
        <w:spacing w:val="-3"/>
        <w:sz w:val="20"/>
        <w:szCs w:val="20"/>
      </w:rPr>
      <w:t>3512</w:t>
    </w:r>
    <w:r>
      <w:rPr>
        <w:rFonts w:ascii="宋体" w:hAnsi="宋体" w:eastAsia="宋体" w:cs="宋体"/>
        <w:spacing w:val="6"/>
        <w:sz w:val="20"/>
        <w:szCs w:val="20"/>
      </w:rPr>
      <w:t xml:space="preserve"> </w:t>
    </w:r>
    <w:r>
      <w:rPr>
        <w:rFonts w:ascii="宋体" w:hAnsi="宋体" w:eastAsia="宋体" w:cs="宋体"/>
        <w:spacing w:val="-3"/>
        <w:sz w:val="20"/>
        <w:szCs w:val="20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YTkxN2VjNTI0OTg1YjJhMjBkM2ZkZmYwMDYyYWMifQ=="/>
  </w:docVars>
  <w:rsids>
    <w:rsidRoot w:val="7DAA09E5"/>
    <w:rsid w:val="212F63C7"/>
    <w:rsid w:val="3F851FF8"/>
    <w:rsid w:val="6BBF23DC"/>
    <w:rsid w:val="7DAA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832</Words>
  <Characters>837</Characters>
  <Lines>0</Lines>
  <Paragraphs>0</Paragraphs>
  <TotalTime>2</TotalTime>
  <ScaleCrop>false</ScaleCrop>
  <LinksUpToDate>false</LinksUpToDate>
  <CharactersWithSpaces>849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2025-11-17T17:31:00Z</dcterms:created>
  <dc:creator>  岁月静好</dc:creator>
  <cp:lastModifiedBy>妮妮</cp:lastModifiedBy>
  <dcterms:modified xsi:type="dcterms:W3CDTF">2025-11-18T10:46:47Z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BB1D73D5CC5B4EDFA645C494FDBE63BB_11</vt:lpwstr>
  </property>
  <property fmtid="{D5CDD505-2E9C-101B-9397-08002B2CF9AE}" pid="4" name="KSOTemplateDocerSaveRecord">
    <vt:lpwstr>eyJoZGlkIjoiOTRhMjRiMjE2NTA3YTNhMWFjODU2NWU5NjM5N2MwYjEiLCJ1c2VySWQiOiI1MjQxNjQ1NjcifQ==</vt:lpwstr>
  </property>
</Properties>
</file>