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13716"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392"/>
        <w:gridCol w:w="850"/>
        <w:gridCol w:w="851"/>
        <w:gridCol w:w="3260"/>
        <w:gridCol w:w="2268"/>
        <w:gridCol w:w="2410"/>
        <w:gridCol w:w="1559"/>
        <w:gridCol w:w="709"/>
        <w:gridCol w:w="850"/>
        <w:gridCol w:w="56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28" w:hRule="atLeast"/>
        </w:trPr>
        <w:tc>
          <w:tcPr>
            <w:tcW w:w="13716" w:type="dxa"/>
            <w:gridSpan w:val="10"/>
          </w:tcPr>
          <w:p>
            <w:pPr>
              <w:spacing w:line="576" w:lineRule="exact"/>
              <w:jc w:val="center"/>
              <w:rPr>
                <w:rFonts w:ascii="方正小标宋简体" w:eastAsia="方正小标宋简体"/>
                <w:sz w:val="44"/>
                <w:szCs w:val="44"/>
              </w:rPr>
            </w:pPr>
            <w:r>
              <w:rPr>
                <w:rFonts w:hint="eastAsia" w:ascii="方正小标宋简体" w:eastAsia="方正小标宋简体"/>
                <w:sz w:val="44"/>
                <w:szCs w:val="44"/>
              </w:rPr>
              <w:t>西藏洛扎县藏语委办（编译局）部门行政权力和责任清单</w:t>
            </w:r>
          </w:p>
          <w:p>
            <w:pPr>
              <w:spacing w:line="576" w:lineRule="exact"/>
              <w:rPr>
                <w:rFonts w:ascii="仿宋_GB2312" w:eastAsia="仿宋_GB2312"/>
                <w:sz w:val="15"/>
                <w:szCs w:val="15"/>
              </w:rPr>
            </w:pPr>
            <w:r>
              <w:rPr>
                <w:rFonts w:hint="eastAsia" w:ascii="仿宋_GB2312" w:hAnsi="宋体" w:eastAsia="仿宋_GB2312" w:cs="宋体"/>
                <w:sz w:val="18"/>
                <w:szCs w:val="18"/>
              </w:rPr>
              <w:t>填报单位（盖章）：洛扎县藏语</w:t>
            </w:r>
            <w:r>
              <w:rPr>
                <w:rFonts w:hint="eastAsia" w:ascii="仿宋_GB2312" w:eastAsia="仿宋_GB2312"/>
                <w:sz w:val="18"/>
                <w:szCs w:val="18"/>
              </w:rPr>
              <w:t>委办（编译局）</w:t>
            </w:r>
            <w:r>
              <w:rPr>
                <w:rFonts w:hint="eastAsia" w:ascii="仿宋_GB2312" w:hAnsi="MS Mincho" w:eastAsia="MS Mincho" w:cs="MS Mincho"/>
                <w:sz w:val="18"/>
                <w:szCs w:val="18"/>
              </w:rPr>
              <w:t> </w:t>
            </w:r>
            <w:r>
              <w:rPr>
                <w:rFonts w:hint="eastAsia" w:ascii="仿宋_GB2312" w:hAnsi="MS Mincho" w:eastAsia="仿宋_GB2312" w:cs="MS Mincho"/>
                <w:sz w:val="18"/>
                <w:szCs w:val="18"/>
              </w:rPr>
              <w:t xml:space="preserve">                                                                    </w:t>
            </w:r>
            <w:r>
              <w:rPr>
                <w:rFonts w:hint="eastAsia" w:ascii="仿宋_GB2312" w:hAnsi="宋体" w:eastAsia="仿宋_GB2312" w:cs="宋体"/>
                <w:sz w:val="18"/>
                <w:szCs w:val="18"/>
              </w:rPr>
              <w:t>填报日期：</w:t>
            </w:r>
            <w:r>
              <w:rPr>
                <w:rFonts w:hint="eastAsia" w:ascii="仿宋_GB2312" w:eastAsia="仿宋_GB2312"/>
                <w:sz w:val="18"/>
                <w:szCs w:val="18"/>
              </w:rPr>
              <w:t>2025年11月14日</w:t>
            </w:r>
            <w:r>
              <w:rPr>
                <w:rFonts w:hint="eastAsia" w:ascii="仿宋_GB2312" w:hAnsi="MS Mincho" w:eastAsia="MS Mincho" w:cs="MS Mincho"/>
                <w:sz w:val="18"/>
                <w:szCs w:val="18"/>
              </w:rPr>
              <w:t>   </w:t>
            </w:r>
            <w:r>
              <w:rPr>
                <w:rFonts w:hint="eastAsia" w:ascii="仿宋_GB2312" w:hAnsi="MS Mincho" w:eastAsia="MS Mincho" w:cs="MS Mincho"/>
                <w:sz w:val="15"/>
                <w:szCs w:val="15"/>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60" w:hRule="atLeast"/>
        </w:trPr>
        <w:tc>
          <w:tcPr>
            <w:tcW w:w="392" w:type="dxa"/>
            <w:vAlign w:val="center"/>
          </w:tcPr>
          <w:p>
            <w:pPr>
              <w:jc w:val="center"/>
              <w:rPr>
                <w:rFonts w:ascii="仿宋_GB2312" w:eastAsia="仿宋_GB2312"/>
                <w:b/>
                <w:sz w:val="15"/>
                <w:szCs w:val="15"/>
              </w:rPr>
            </w:pPr>
            <w:r>
              <w:rPr>
                <w:rFonts w:hint="eastAsia" w:ascii="仿宋_GB2312" w:eastAsia="仿宋_GB2312"/>
                <w:b/>
                <w:sz w:val="15"/>
                <w:szCs w:val="15"/>
              </w:rPr>
              <w:t>序号</w:t>
            </w:r>
          </w:p>
        </w:tc>
        <w:tc>
          <w:tcPr>
            <w:tcW w:w="850" w:type="dxa"/>
            <w:vAlign w:val="center"/>
          </w:tcPr>
          <w:p>
            <w:pPr>
              <w:jc w:val="center"/>
              <w:rPr>
                <w:rFonts w:ascii="仿宋_GB2312" w:eastAsia="仿宋_GB2312"/>
                <w:b/>
                <w:sz w:val="15"/>
                <w:szCs w:val="15"/>
              </w:rPr>
            </w:pPr>
            <w:r>
              <w:rPr>
                <w:rFonts w:hint="eastAsia" w:ascii="仿宋_GB2312" w:eastAsia="仿宋_GB2312"/>
                <w:b/>
                <w:sz w:val="15"/>
                <w:szCs w:val="15"/>
              </w:rPr>
              <w:t>职权类型</w:t>
            </w:r>
          </w:p>
        </w:tc>
        <w:tc>
          <w:tcPr>
            <w:tcW w:w="851" w:type="dxa"/>
            <w:vAlign w:val="center"/>
          </w:tcPr>
          <w:p>
            <w:pPr>
              <w:rPr>
                <w:rFonts w:ascii="仿宋_GB2312" w:eastAsia="仿宋_GB2312"/>
                <w:b/>
                <w:sz w:val="15"/>
                <w:szCs w:val="15"/>
              </w:rPr>
            </w:pPr>
            <w:r>
              <w:rPr>
                <w:rFonts w:hint="eastAsia" w:ascii="仿宋_GB2312" w:eastAsia="仿宋_GB2312"/>
                <w:b/>
                <w:sz w:val="15"/>
                <w:szCs w:val="15"/>
              </w:rPr>
              <w:t>职权名称</w:t>
            </w:r>
          </w:p>
        </w:tc>
        <w:tc>
          <w:tcPr>
            <w:tcW w:w="3260" w:type="dxa"/>
            <w:vAlign w:val="center"/>
          </w:tcPr>
          <w:p>
            <w:pPr>
              <w:jc w:val="center"/>
              <w:rPr>
                <w:rFonts w:ascii="仿宋_GB2312" w:eastAsia="仿宋_GB2312"/>
                <w:b/>
                <w:sz w:val="15"/>
                <w:szCs w:val="15"/>
              </w:rPr>
            </w:pPr>
            <w:r>
              <w:rPr>
                <w:rFonts w:hint="eastAsia" w:ascii="仿宋_GB2312" w:eastAsia="仿宋_GB2312"/>
                <w:b/>
                <w:sz w:val="15"/>
                <w:szCs w:val="15"/>
              </w:rPr>
              <w:t>职权依据</w:t>
            </w:r>
          </w:p>
        </w:tc>
        <w:tc>
          <w:tcPr>
            <w:tcW w:w="2268" w:type="dxa"/>
            <w:vAlign w:val="center"/>
          </w:tcPr>
          <w:p>
            <w:pPr>
              <w:jc w:val="center"/>
              <w:rPr>
                <w:rFonts w:ascii="仿宋_GB2312" w:eastAsia="仿宋_GB2312"/>
                <w:b/>
                <w:sz w:val="15"/>
                <w:szCs w:val="15"/>
              </w:rPr>
            </w:pPr>
            <w:r>
              <w:rPr>
                <w:rFonts w:hint="eastAsia" w:ascii="仿宋_GB2312" w:eastAsia="仿宋_GB2312"/>
                <w:b/>
                <w:sz w:val="15"/>
                <w:szCs w:val="15"/>
              </w:rPr>
              <w:t>责任事项</w:t>
            </w:r>
          </w:p>
        </w:tc>
        <w:tc>
          <w:tcPr>
            <w:tcW w:w="2410" w:type="dxa"/>
            <w:vAlign w:val="center"/>
          </w:tcPr>
          <w:p>
            <w:pPr>
              <w:jc w:val="center"/>
              <w:rPr>
                <w:rFonts w:ascii="仿宋_GB2312" w:eastAsia="仿宋_GB2312"/>
                <w:b/>
                <w:sz w:val="15"/>
                <w:szCs w:val="15"/>
              </w:rPr>
            </w:pPr>
            <w:r>
              <w:rPr>
                <w:rFonts w:hint="eastAsia" w:ascii="仿宋_GB2312" w:eastAsia="仿宋_GB2312"/>
                <w:b/>
                <w:sz w:val="15"/>
                <w:szCs w:val="15"/>
              </w:rPr>
              <w:t>追责情形</w:t>
            </w:r>
          </w:p>
        </w:tc>
        <w:tc>
          <w:tcPr>
            <w:tcW w:w="1559" w:type="dxa"/>
            <w:vAlign w:val="center"/>
          </w:tcPr>
          <w:p>
            <w:pPr>
              <w:jc w:val="center"/>
              <w:rPr>
                <w:rFonts w:ascii="仿宋_GB2312" w:eastAsia="仿宋_GB2312"/>
                <w:b/>
                <w:sz w:val="15"/>
                <w:szCs w:val="15"/>
              </w:rPr>
            </w:pPr>
            <w:r>
              <w:rPr>
                <w:rFonts w:hint="eastAsia" w:ascii="仿宋_GB2312" w:eastAsia="仿宋_GB2312"/>
                <w:b/>
                <w:sz w:val="15"/>
                <w:szCs w:val="15"/>
              </w:rPr>
              <w:t>追责依据</w:t>
            </w:r>
          </w:p>
        </w:tc>
        <w:tc>
          <w:tcPr>
            <w:tcW w:w="709" w:type="dxa"/>
            <w:vAlign w:val="center"/>
          </w:tcPr>
          <w:p>
            <w:pPr>
              <w:jc w:val="center"/>
              <w:rPr>
                <w:rFonts w:ascii="仿宋_GB2312" w:eastAsia="仿宋_GB2312"/>
                <w:b/>
                <w:sz w:val="15"/>
                <w:szCs w:val="15"/>
              </w:rPr>
            </w:pPr>
            <w:r>
              <w:rPr>
                <w:rFonts w:hint="eastAsia" w:ascii="仿宋_GB2312" w:eastAsia="仿宋_GB2312"/>
                <w:b/>
                <w:sz w:val="15"/>
                <w:szCs w:val="15"/>
              </w:rPr>
              <w:t>行使 主体</w:t>
            </w:r>
          </w:p>
        </w:tc>
        <w:tc>
          <w:tcPr>
            <w:tcW w:w="850" w:type="dxa"/>
            <w:vAlign w:val="center"/>
          </w:tcPr>
          <w:p>
            <w:pPr>
              <w:jc w:val="center"/>
              <w:rPr>
                <w:rFonts w:ascii="仿宋_GB2312" w:eastAsia="仿宋_GB2312"/>
                <w:b/>
                <w:sz w:val="15"/>
                <w:szCs w:val="15"/>
              </w:rPr>
            </w:pPr>
            <w:r>
              <w:rPr>
                <w:rFonts w:hint="eastAsia" w:ascii="仿宋_GB2312" w:eastAsia="仿宋_GB2312"/>
                <w:b/>
                <w:sz w:val="15"/>
                <w:szCs w:val="15"/>
              </w:rPr>
              <w:t>服务电话</w:t>
            </w:r>
          </w:p>
        </w:tc>
        <w:tc>
          <w:tcPr>
            <w:tcW w:w="567" w:type="dxa"/>
            <w:vAlign w:val="center"/>
          </w:tcPr>
          <w:p>
            <w:pPr>
              <w:jc w:val="center"/>
              <w:rPr>
                <w:rFonts w:ascii="仿宋_GB2312" w:eastAsia="仿宋_GB2312"/>
                <w:b/>
                <w:sz w:val="15"/>
                <w:szCs w:val="15"/>
              </w:rPr>
            </w:pPr>
            <w:r>
              <w:rPr>
                <w:rFonts w:hint="eastAsia" w:ascii="仿宋_GB2312" w:eastAsia="仿宋_GB2312"/>
                <w:b/>
                <w:sz w:val="15"/>
                <w:szCs w:val="15"/>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59" w:hRule="atLeast"/>
        </w:trPr>
        <w:tc>
          <w:tcPr>
            <w:tcW w:w="392" w:type="dxa"/>
            <w:vAlign w:val="center"/>
          </w:tcPr>
          <w:p>
            <w:pPr>
              <w:jc w:val="center"/>
              <w:rPr>
                <w:rFonts w:ascii="仿宋_GB2312" w:eastAsia="仿宋_GB2312"/>
                <w:sz w:val="15"/>
                <w:szCs w:val="15"/>
              </w:rPr>
            </w:pPr>
            <w:r>
              <w:rPr>
                <w:rFonts w:hint="eastAsia" w:ascii="仿宋_GB2312" w:eastAsia="仿宋_GB2312"/>
                <w:sz w:val="15"/>
                <w:szCs w:val="15"/>
              </w:rPr>
              <w:t>1</w:t>
            </w:r>
          </w:p>
        </w:tc>
        <w:tc>
          <w:tcPr>
            <w:tcW w:w="850" w:type="dxa"/>
            <w:vAlign w:val="center"/>
          </w:tcPr>
          <w:p>
            <w:pPr>
              <w:jc w:val="center"/>
              <w:rPr>
                <w:rFonts w:ascii="仿宋_GB2312" w:eastAsia="仿宋_GB2312"/>
                <w:sz w:val="15"/>
                <w:szCs w:val="15"/>
              </w:rPr>
            </w:pPr>
            <w:r>
              <w:rPr>
                <w:rFonts w:hint="eastAsia" w:ascii="仿宋_GB2312" w:eastAsia="仿宋_GB2312"/>
                <w:sz w:val="15"/>
                <w:szCs w:val="15"/>
              </w:rPr>
              <w:t>行政检查</w:t>
            </w:r>
          </w:p>
        </w:tc>
        <w:tc>
          <w:tcPr>
            <w:tcW w:w="851" w:type="dxa"/>
            <w:vAlign w:val="center"/>
          </w:tcPr>
          <w:p>
            <w:pPr>
              <w:jc w:val="center"/>
              <w:rPr>
                <w:rFonts w:ascii="仿宋_GB2312" w:eastAsia="仿宋_GB2312"/>
                <w:sz w:val="15"/>
                <w:szCs w:val="15"/>
              </w:rPr>
            </w:pPr>
            <w:r>
              <w:rPr>
                <w:rFonts w:hint="eastAsia" w:ascii="仿宋_GB2312" w:eastAsia="仿宋_GB2312"/>
                <w:sz w:val="15"/>
                <w:szCs w:val="15"/>
              </w:rPr>
              <w:t>社会用字检查</w:t>
            </w:r>
          </w:p>
        </w:tc>
        <w:tc>
          <w:tcPr>
            <w:tcW w:w="3260" w:type="dxa"/>
            <w:vAlign w:val="center"/>
          </w:tcPr>
          <w:p>
            <w:pPr>
              <w:jc w:val="center"/>
              <w:rPr>
                <w:rFonts w:ascii="仿宋_GB2312" w:eastAsia="仿宋_GB2312"/>
                <w:sz w:val="15"/>
                <w:szCs w:val="15"/>
              </w:rPr>
            </w:pPr>
            <w:r>
              <w:rPr>
                <w:rFonts w:hint="eastAsia" w:ascii="仿宋_GB2312" w:eastAsia="仿宋_GB2312"/>
                <w:sz w:val="15"/>
                <w:szCs w:val="15"/>
              </w:rPr>
              <w:t>【法律】《中华人民共和国民族区域自治法》第二十一条：民族自治地方的自治机关在执行职务的时候，依照本民族自治地方自治条例的规定，使用当地通用的一种或者几种语言文字。</w:t>
            </w:r>
          </w:p>
          <w:p>
            <w:pPr>
              <w:rPr>
                <w:rFonts w:ascii="仿宋_GB2312" w:eastAsia="仿宋_GB2312"/>
                <w:sz w:val="15"/>
                <w:szCs w:val="15"/>
              </w:rPr>
            </w:pPr>
            <w:r>
              <w:rPr>
                <w:rFonts w:hint="eastAsia" w:ascii="仿宋_GB2312" w:eastAsia="仿宋_GB2312"/>
                <w:sz w:val="15"/>
                <w:szCs w:val="15"/>
              </w:rPr>
              <w:t>【地方法规】《西藏自治区学习、使用和发展藏语文的规定》第十一条：自治区各级国家机关、人民团体、企事业单位以及驻区外常设机构的公章、证件、牌匾应当同时使用藏文和国家通用文字。城市公共场所设施、招牌、广告等用字应当同时使用藏文和国家通用文字，并应书写规范、工整，译文准确。第十六条：违反第十一条规定的，由县级以上人民政府藏语文工作部门责令限期改正。第十八条：违反本规定其他条款的，由县级以上人民政府藏语文工作部门给予批评教育或者由所在单位给予行政处分。</w:t>
            </w:r>
          </w:p>
        </w:tc>
        <w:tc>
          <w:tcPr>
            <w:tcW w:w="2268" w:type="dxa"/>
            <w:vAlign w:val="center"/>
          </w:tcPr>
          <w:p>
            <w:pPr>
              <w:rPr>
                <w:rFonts w:ascii="仿宋_GB2312" w:eastAsia="仿宋_GB2312"/>
                <w:sz w:val="15"/>
                <w:szCs w:val="15"/>
              </w:rPr>
            </w:pPr>
            <w:r>
              <w:rPr>
                <w:rFonts w:hint="eastAsia" w:ascii="仿宋_GB2312" w:eastAsia="仿宋_GB2312"/>
                <w:sz w:val="15"/>
                <w:szCs w:val="15"/>
              </w:rPr>
              <w:t>1.检查责任：定期根据规定对社会用字进行核查。</w:t>
            </w:r>
          </w:p>
          <w:p>
            <w:pPr>
              <w:jc w:val="center"/>
              <w:rPr>
                <w:rFonts w:ascii="仿宋_GB2312" w:eastAsia="仿宋_GB2312"/>
                <w:sz w:val="15"/>
                <w:szCs w:val="15"/>
              </w:rPr>
            </w:pPr>
            <w:r>
              <w:rPr>
                <w:rFonts w:hint="eastAsia" w:ascii="仿宋_GB2312" w:eastAsia="仿宋_GB2312"/>
                <w:sz w:val="15"/>
                <w:szCs w:val="15"/>
              </w:rPr>
              <w:t>2.处置责任：由县级以上人民政府藏语文工作部门责令限期改正；由市场监督管理部门责令限期改正；由县级以上人民政府藏语文工作部门给予批评教育或者由所在单位给予行政处分。</w:t>
            </w:r>
          </w:p>
          <w:p>
            <w:pPr>
              <w:rPr>
                <w:rFonts w:ascii="仿宋_GB2312" w:eastAsia="仿宋_GB2312"/>
                <w:sz w:val="15"/>
                <w:szCs w:val="15"/>
              </w:rPr>
            </w:pPr>
            <w:r>
              <w:rPr>
                <w:rFonts w:hint="eastAsia" w:ascii="仿宋_GB2312" w:eastAsia="仿宋_GB2312"/>
                <w:sz w:val="15"/>
                <w:szCs w:val="15"/>
              </w:rPr>
              <w:t>3.移送责任：对违反社会用字相关规定的，及时移送相关部门责令限期改正。</w:t>
            </w:r>
          </w:p>
          <w:p>
            <w:pPr>
              <w:jc w:val="left"/>
              <w:rPr>
                <w:rFonts w:ascii="仿宋_GB2312" w:eastAsia="仿宋_GB2312"/>
                <w:sz w:val="15"/>
                <w:szCs w:val="15"/>
              </w:rPr>
            </w:pPr>
            <w:r>
              <w:rPr>
                <w:rFonts w:hint="eastAsia" w:ascii="仿宋_GB2312" w:eastAsia="仿宋_GB2312"/>
                <w:sz w:val="15"/>
                <w:szCs w:val="15"/>
              </w:rPr>
              <w:t>4.事后监管责任：对检查情况进行汇总、分类、归档备查，并跟踪监测。</w:t>
            </w:r>
          </w:p>
          <w:p>
            <w:pPr>
              <w:rPr>
                <w:rFonts w:ascii="仿宋_GB2312" w:eastAsia="仿宋_GB2312"/>
                <w:sz w:val="15"/>
                <w:szCs w:val="15"/>
              </w:rPr>
            </w:pPr>
            <w:r>
              <w:rPr>
                <w:rFonts w:hint="eastAsia" w:ascii="仿宋_GB2312" w:eastAsia="仿宋_GB2312"/>
                <w:sz w:val="15"/>
                <w:szCs w:val="15"/>
              </w:rPr>
              <w:t>5.其他：法律法规规章文件规定应履行的其他责任。</w:t>
            </w:r>
          </w:p>
        </w:tc>
        <w:tc>
          <w:tcPr>
            <w:tcW w:w="2410" w:type="dxa"/>
            <w:vAlign w:val="center"/>
          </w:tcPr>
          <w:p>
            <w:pPr>
              <w:rPr>
                <w:rFonts w:ascii="仿宋_GB2312" w:eastAsia="仿宋_GB2312"/>
                <w:sz w:val="15"/>
                <w:szCs w:val="15"/>
              </w:rPr>
            </w:pPr>
            <w:r>
              <w:rPr>
                <w:rFonts w:hint="eastAsia" w:ascii="仿宋_GB2312" w:eastAsia="仿宋_GB2312"/>
                <w:sz w:val="15"/>
                <w:szCs w:val="15"/>
              </w:rPr>
              <w:t>因不履行或不正确履行行政职责，有下列情形的行政机关及相关工作人员应承担相应的责任：</w:t>
            </w:r>
          </w:p>
          <w:p>
            <w:pPr>
              <w:rPr>
                <w:rFonts w:ascii="仿宋_GB2312" w:eastAsia="仿宋_GB2312"/>
                <w:sz w:val="15"/>
                <w:szCs w:val="15"/>
              </w:rPr>
            </w:pPr>
            <w:r>
              <w:rPr>
                <w:rFonts w:hint="eastAsia" w:ascii="仿宋_GB2312" w:eastAsia="仿宋_GB2312"/>
                <w:sz w:val="15"/>
                <w:szCs w:val="15"/>
              </w:rPr>
              <w:t>1.未查实证据即责令停止程序不符合相关规定的；</w:t>
            </w:r>
          </w:p>
          <w:p>
            <w:pPr>
              <w:rPr>
                <w:rFonts w:ascii="仿宋_GB2312" w:eastAsia="仿宋_GB2312"/>
                <w:sz w:val="15"/>
                <w:szCs w:val="15"/>
              </w:rPr>
            </w:pPr>
            <w:r>
              <w:rPr>
                <w:rFonts w:hint="eastAsia" w:ascii="仿宋_GB2312" w:eastAsia="仿宋_GB2312"/>
                <w:sz w:val="15"/>
                <w:szCs w:val="15"/>
              </w:rPr>
              <w:t>2.放弃、推诿、拖延、拒绝或未及时向市场监督管理部门移送的；</w:t>
            </w:r>
          </w:p>
          <w:p>
            <w:pPr>
              <w:rPr>
                <w:rFonts w:ascii="仿宋_GB2312" w:eastAsia="仿宋_GB2312"/>
                <w:sz w:val="15"/>
                <w:szCs w:val="15"/>
              </w:rPr>
            </w:pPr>
            <w:r>
              <w:rPr>
                <w:rFonts w:hint="eastAsia" w:ascii="仿宋_GB2312" w:eastAsia="仿宋_GB2312"/>
                <w:sz w:val="15"/>
                <w:szCs w:val="15"/>
              </w:rPr>
              <w:t>3.执法人员玩忽职守或滥用职权，未对藏语文社会用字情况检查，致使当事人或公民、法人、其他组织的合法权益、公共利益和社会秩序遭受损害的；</w:t>
            </w:r>
          </w:p>
          <w:p>
            <w:pPr>
              <w:jc w:val="left"/>
              <w:rPr>
                <w:rFonts w:ascii="仿宋_GB2312" w:eastAsia="仿宋_GB2312"/>
                <w:sz w:val="15"/>
                <w:szCs w:val="15"/>
              </w:rPr>
            </w:pPr>
            <w:r>
              <w:rPr>
                <w:rFonts w:hint="eastAsia" w:ascii="仿宋_GB2312" w:eastAsia="仿宋_GB2312"/>
                <w:sz w:val="15"/>
                <w:szCs w:val="15"/>
              </w:rPr>
              <w:t>4.在责令限期改正过程中发生腐败行为的；</w:t>
            </w:r>
          </w:p>
          <w:p>
            <w:pPr>
              <w:rPr>
                <w:rFonts w:ascii="仿宋_GB2312" w:eastAsia="仿宋_GB2312"/>
                <w:sz w:val="15"/>
                <w:szCs w:val="15"/>
              </w:rPr>
            </w:pPr>
            <w:r>
              <w:rPr>
                <w:rFonts w:hint="eastAsia" w:ascii="仿宋_GB2312" w:eastAsia="仿宋_GB2312"/>
                <w:sz w:val="15"/>
                <w:szCs w:val="15"/>
              </w:rPr>
              <w:t>5.其他违反法律法规规章文件规定的行为。</w:t>
            </w:r>
          </w:p>
        </w:tc>
        <w:tc>
          <w:tcPr>
            <w:tcW w:w="1559" w:type="dxa"/>
            <w:vAlign w:val="center"/>
          </w:tcPr>
          <w:p>
            <w:pPr>
              <w:rPr>
                <w:rFonts w:ascii="仿宋_GB2312" w:eastAsia="仿宋_GB2312"/>
                <w:sz w:val="15"/>
                <w:szCs w:val="15"/>
              </w:rPr>
            </w:pPr>
            <w:r>
              <w:rPr>
                <w:rFonts w:hint="eastAsia" w:ascii="仿宋_GB2312" w:eastAsia="仿宋_GB2312"/>
                <w:sz w:val="15"/>
                <w:szCs w:val="15"/>
              </w:rPr>
              <w:t>【法律】《中华人民共和国行政处罚法》第八十一条：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w:t>
            </w:r>
          </w:p>
        </w:tc>
        <w:tc>
          <w:tcPr>
            <w:tcW w:w="709" w:type="dxa"/>
            <w:vAlign w:val="center"/>
          </w:tcPr>
          <w:p>
            <w:pPr>
              <w:jc w:val="center"/>
              <w:rPr>
                <w:rFonts w:ascii="仿宋_GB2312" w:eastAsia="仿宋_GB2312"/>
                <w:sz w:val="15"/>
                <w:szCs w:val="15"/>
              </w:rPr>
            </w:pPr>
            <w:r>
              <w:rPr>
                <w:rFonts w:hint="eastAsia" w:ascii="仿宋_GB2312" w:eastAsia="仿宋_GB2312"/>
                <w:sz w:val="15"/>
                <w:szCs w:val="15"/>
              </w:rPr>
              <w:t>洛扎县藏语委办（编译局）</w:t>
            </w:r>
          </w:p>
        </w:tc>
        <w:tc>
          <w:tcPr>
            <w:tcW w:w="850" w:type="dxa"/>
            <w:vAlign w:val="center"/>
          </w:tcPr>
          <w:p>
            <w:pPr>
              <w:jc w:val="center"/>
              <w:rPr>
                <w:rFonts w:ascii="仿宋_GB2312" w:eastAsia="仿宋_GB2312"/>
                <w:sz w:val="15"/>
                <w:szCs w:val="15"/>
              </w:rPr>
            </w:pPr>
            <w:r>
              <w:rPr>
                <w:rFonts w:hint="eastAsia" w:ascii="仿宋_GB2312" w:eastAsia="仿宋_GB2312"/>
                <w:sz w:val="15"/>
                <w:szCs w:val="15"/>
              </w:rPr>
              <w:t>0893-7372856</w:t>
            </w:r>
          </w:p>
        </w:tc>
        <w:tc>
          <w:tcPr>
            <w:tcW w:w="567" w:type="dxa"/>
            <w:vAlign w:val="center"/>
          </w:tcPr>
          <w:p>
            <w:pPr>
              <w:jc w:val="center"/>
              <w:rPr>
                <w:rFonts w:ascii="仿宋_GB2312" w:eastAsia="仿宋_GB2312"/>
                <w:sz w:val="15"/>
                <w:szCs w:val="15"/>
              </w:rPr>
            </w:pPr>
          </w:p>
        </w:tc>
      </w:tr>
    </w:tbl>
    <w:p>
      <w:pPr>
        <w:jc w:val="center"/>
        <w:rPr>
          <w:rFonts w:ascii="仿宋_GB2312" w:hAnsi="宋体" w:eastAsia="仿宋_GB2312" w:cs="宋体"/>
          <w:sz w:val="15"/>
          <w:szCs w:val="15"/>
        </w:rPr>
      </w:pPr>
    </w:p>
    <w:sectPr>
      <w:pgSz w:w="16838" w:h="11906" w:orient="landscape"/>
      <w:pgMar w:top="1474" w:right="1588" w:bottom="1474" w:left="1814"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modern"/>
    <w:pitch w:val="default"/>
    <w:sig w:usb0="00000000" w:usb1="00000000" w:usb2="00000010" w:usb3="00000000" w:csb0="00040000" w:csb1="00000000"/>
  </w:font>
  <w:font w:name="MS Mincho">
    <w:altName w:val="方正书宋_GBK"/>
    <w:panose1 w:val="02020609040205080304"/>
    <w:charset w:val="80"/>
    <w:family w:val="modern"/>
    <w:pitch w:val="default"/>
    <w:sig w:usb0="00000000" w:usb1="00000000" w:usb2="00000010" w:usb3="00000000" w:csb0="0002009F"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Math TeX Gyre">
    <w:panose1 w:val="02000503000000000000"/>
    <w:charset w:val="00"/>
    <w:family w:val="auto"/>
    <w:pitch w:val="default"/>
    <w:sig w:usb0="A10000EF" w:usb1="4201F9EE" w:usb2="02000000" w:usb3="00000000" w:csb0="60000193" w:csb1="0DD4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方正黑体_GBK">
    <w:panose1 w:val="02000000000000000000"/>
    <w:charset w:val="86"/>
    <w:family w:val="auto"/>
    <w:pitch w:val="default"/>
    <w:sig w:usb0="00000001" w:usb1="08000000" w:usb2="00000000" w:usb3="00000000" w:csb0="00040000" w:csb1="00000000"/>
  </w:font>
  <w:font w:name="方正宋体S-超大字符集(SIP)">
    <w:panose1 w:val="03000509000000000000"/>
    <w:charset w:val="86"/>
    <w:family w:val="auto"/>
    <w:pitch w:val="default"/>
    <w:sig w:usb0="00000003" w:usb1="0A0E08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5D61"/>
    <w:rsid w:val="000A0367"/>
    <w:rsid w:val="000C6AFE"/>
    <w:rsid w:val="001D2694"/>
    <w:rsid w:val="001E133D"/>
    <w:rsid w:val="001F209B"/>
    <w:rsid w:val="001F3823"/>
    <w:rsid w:val="00242559"/>
    <w:rsid w:val="002C35E2"/>
    <w:rsid w:val="002C7C23"/>
    <w:rsid w:val="00314094"/>
    <w:rsid w:val="00390BBA"/>
    <w:rsid w:val="003D7B43"/>
    <w:rsid w:val="00417DC2"/>
    <w:rsid w:val="00453A28"/>
    <w:rsid w:val="0048070C"/>
    <w:rsid w:val="00486371"/>
    <w:rsid w:val="004A428F"/>
    <w:rsid w:val="00545195"/>
    <w:rsid w:val="00565784"/>
    <w:rsid w:val="005D009D"/>
    <w:rsid w:val="006C5560"/>
    <w:rsid w:val="006D35D7"/>
    <w:rsid w:val="006F4C8B"/>
    <w:rsid w:val="00747D64"/>
    <w:rsid w:val="0075644E"/>
    <w:rsid w:val="00785031"/>
    <w:rsid w:val="00835651"/>
    <w:rsid w:val="008E08CE"/>
    <w:rsid w:val="008F5339"/>
    <w:rsid w:val="00935FFC"/>
    <w:rsid w:val="00972962"/>
    <w:rsid w:val="009D7343"/>
    <w:rsid w:val="00A53CEA"/>
    <w:rsid w:val="00A55CF4"/>
    <w:rsid w:val="00A90549"/>
    <w:rsid w:val="00A942B5"/>
    <w:rsid w:val="00AF500C"/>
    <w:rsid w:val="00B45D64"/>
    <w:rsid w:val="00B91484"/>
    <w:rsid w:val="00BC5352"/>
    <w:rsid w:val="00BF072E"/>
    <w:rsid w:val="00C174D7"/>
    <w:rsid w:val="00CD4F85"/>
    <w:rsid w:val="00D15D61"/>
    <w:rsid w:val="00D35551"/>
    <w:rsid w:val="00E3375D"/>
    <w:rsid w:val="00E43E2F"/>
    <w:rsid w:val="00E97F61"/>
    <w:rsid w:val="00FA7753"/>
    <w:rsid w:val="6EFF0AC1"/>
    <w:rsid w:val="FEFB896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7">
    <w:name w:val="页眉 Char"/>
    <w:basedOn w:val="6"/>
    <w:link w:val="3"/>
    <w:qFormat/>
    <w:uiPriority w:val="0"/>
    <w:rPr>
      <w:kern w:val="2"/>
      <w:sz w:val="18"/>
      <w:szCs w:val="18"/>
    </w:rPr>
  </w:style>
  <w:style w:type="character" w:customStyle="1" w:styleId="8">
    <w:name w:val="页脚 Char"/>
    <w:basedOn w:val="6"/>
    <w:link w:val="2"/>
    <w:qFormat/>
    <w:uiPriority w:val="0"/>
    <w:rPr>
      <w:kern w:val="2"/>
      <w:sz w:val="18"/>
      <w:szCs w:val="18"/>
    </w:rPr>
  </w:style>
  <w:style w:type="paragraph" w:styleId="9">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199</Words>
  <Characters>1140</Characters>
  <Lines>9</Lines>
  <Paragraphs>2</Paragraphs>
  <TotalTime>132</TotalTime>
  <ScaleCrop>false</ScaleCrop>
  <LinksUpToDate>false</LinksUpToDate>
  <CharactersWithSpaces>1337</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2025-11-13T10:46:00Z</dcterms:created>
  <dc:creator>华为</dc:creator>
  <cp:lastModifiedBy>妮妮</cp:lastModifiedBy>
  <cp:lastPrinted>2025-11-13T18:15:00Z</cp:lastPrinted>
  <dcterms:modified xsi:type="dcterms:W3CDTF">2025-11-14T15:50:34Z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KSOTemplateDocerSaveRecord">
    <vt:lpwstr>eyJoZGlkIjoiMzEwNTM5NzYwMDRjMzkwZTVkZjY2ODkwMGIxNGU0OTUiLCJ1c2VySWQiOiIxMTY4ODA1MTgyIn0=</vt:lpwstr>
  </property>
  <property fmtid="{D5CDD505-2E9C-101B-9397-08002B2CF9AE}" pid="4" name="ICV">
    <vt:lpwstr>8CA6548952D547598257F48550C670F6_12</vt:lpwstr>
  </property>
</Properties>
</file>