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洛扎县民政局（退役军人事务局）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行政处罚裁量基准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bookmarkStart w:id="0" w:name="1"/>
      <w:bookmarkEnd w:id="0"/>
      <w:bookmarkStart w:id="1" w:name="sub19983817_1"/>
      <w:bookmarkEnd w:id="1"/>
      <w:bookmarkStart w:id="2" w:name="第一章_总则"/>
      <w:bookmarkEnd w:id="2"/>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  为规范</w:t>
      </w:r>
      <w:r>
        <w:rPr>
          <w:rFonts w:hint="eastAsia" w:ascii="仿宋_GB2312" w:hAnsi="仿宋_GB2312" w:eastAsia="仿宋_GB2312" w:cs="仿宋_GB2312"/>
          <w:sz w:val="32"/>
          <w:szCs w:val="32"/>
          <w:lang w:eastAsia="zh-CN"/>
        </w:rPr>
        <w:t>洛扎县民政局（退役军人事务局）</w:t>
      </w:r>
      <w:r>
        <w:rPr>
          <w:rFonts w:hint="eastAsia" w:ascii="仿宋_GB2312" w:hAnsi="仿宋_GB2312" w:eastAsia="仿宋_GB2312" w:cs="仿宋_GB2312"/>
          <w:sz w:val="32"/>
          <w:szCs w:val="32"/>
        </w:rPr>
        <w:t>管理领域违法行为的行政处罚自由裁量权，根据国家和自治区相关法律、法规和规章，制定《</w:t>
      </w:r>
      <w:r>
        <w:rPr>
          <w:rFonts w:hint="eastAsia" w:ascii="仿宋_GB2312" w:hAnsi="仿宋_GB2312" w:eastAsia="仿宋_GB2312" w:cs="仿宋_GB2312"/>
          <w:sz w:val="32"/>
          <w:szCs w:val="32"/>
          <w:lang w:eastAsia="zh-CN"/>
        </w:rPr>
        <w:t>洛扎县民政局（退役军人事务局）</w:t>
      </w:r>
      <w:r>
        <w:rPr>
          <w:rFonts w:hint="eastAsia" w:ascii="仿宋_GB2312" w:hAnsi="仿宋_GB2312" w:eastAsia="仿宋_GB2312" w:cs="仿宋_GB2312"/>
          <w:sz w:val="32"/>
          <w:szCs w:val="32"/>
        </w:rPr>
        <w:t>行政处罚裁量基准》(以下简称《基准》)。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  本《基准》适用于</w:t>
      </w:r>
      <w:r>
        <w:rPr>
          <w:rFonts w:hint="eastAsia" w:ascii="仿宋_GB2312" w:hAnsi="仿宋_GB2312" w:eastAsia="仿宋_GB2312" w:cs="仿宋_GB2312"/>
          <w:sz w:val="32"/>
          <w:szCs w:val="32"/>
          <w:lang w:eastAsia="zh-CN"/>
        </w:rPr>
        <w:t>洛扎县民政局（退役军人事务局）</w:t>
      </w:r>
      <w:r>
        <w:rPr>
          <w:rFonts w:hint="eastAsia" w:ascii="仿宋_GB2312" w:hAnsi="仿宋_GB2312" w:eastAsia="仿宋_GB2312" w:cs="仿宋_GB2312"/>
          <w:sz w:val="32"/>
          <w:szCs w:val="32"/>
        </w:rPr>
        <w:t>管理领域违法行为的处罚裁量。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  本《基准》执法主体为</w:t>
      </w:r>
      <w:r>
        <w:rPr>
          <w:rFonts w:hint="eastAsia" w:ascii="仿宋_GB2312" w:hAnsi="仿宋_GB2312" w:eastAsia="仿宋_GB2312" w:cs="仿宋_GB2312"/>
          <w:sz w:val="32"/>
          <w:szCs w:val="32"/>
          <w:lang w:eastAsia="zh-CN"/>
        </w:rPr>
        <w:t>洛扎县民政局（退役军人事务局）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本《基准》中各类违法行为依据社会危害性划定为A、B、C三个基础裁量档次。其中：“违法行为本身社会危害性严重的”对应A档，“违法行为本身社会危害性一般的”对应B档，“违法行为本身危害性轻微的”对应C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本《基准》中，针对各类违法行为设定的基础裁量档，其对应的裁量幅度为依法“从轻”处罚的下限至“从重”处罚的上限。属于行政处罚法应当或可以减轻、加重处罚情节的，可以跨越本《基准》规定的基础裁量档实施处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bookmarkStart w:id="3" w:name="sub19983817_2"/>
      <w:bookmarkEnd w:id="3"/>
      <w:bookmarkStart w:id="4" w:name="2"/>
      <w:bookmarkEnd w:id="4"/>
      <w:bookmarkStart w:id="5" w:name="第二章_违法行为裁量档次"/>
      <w:bookmarkEnd w:id="5"/>
      <w:r>
        <w:rPr>
          <w:rFonts w:hint="eastAsia" w:ascii="黑体" w:hAnsi="黑体" w:eastAsia="黑体" w:cs="黑体"/>
          <w:sz w:val="32"/>
          <w:szCs w:val="32"/>
        </w:rPr>
        <w:t>第二章  违法行为裁量档次</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第一节  社会团体部分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社会团体违反《社会团体登记管理条例》第三十三条第一款第(一)项、第(二)项、第十九条第二款、第四条第二款、第二十九条第一款规定，涂改、出租、出借《社会团体法人登记证书》的，出租、出借社会团体印章的，超出章程规定的宗旨和业务范围进行活动的，对分支机构、代表机构疏于管理，造成严重后果的，从事营利性的经营活动的，侵占、私分、挪用社会团体资产的，侵占、私分、挪用社会团体所接受的捐赠、资助的，违反国家有关规定收取费用、筹集资金的，违反国家有关规定接受、使用捐赠、资助的，其行为属于基础裁量A档。依据《社会团体登记管理条例》第三十三条的规定，上述违法行为的裁量幅度为“警告、责令限期停止活动、撤销登记”，有违法经营额或者违法所得的，“没收违法经营额或者违法所得，并处违法经营额1倍以上3倍以下或者违法所得3倍以上5倍以下的罚款”，根据不同违法情节划分为“警告。没收违法经营额或者违法所得”、“责令限期停止活动3个月。没收违法经营额或者违法所得，并处违法经营额1倍以上2倍以下罚款或者违法所得3倍以上4倍以下罚款”、“责令限期停止活动6个月。没收违法经营额或者违法所得，并处违法经营额2倍以上3倍以下罚款或违法所得4倍以上5倍以下罚款”、“撤销登记。没收违法经营额或违法所得，并处违法经营额3倍的罚款或违法所得5倍的罚款”四个基础裁量阶次。</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社会团体违反《社会团体登记管理条例》第三十三条第一款第(三)项、第二十条第一款规定，拒不接受或者不按照规定接受监督检查的，不按照规定办理变更登记的，其行为属于基础裁量A档。依据《社会团体登记管理条例》第三十三条第一款、第二款的规定，上述违法行为的裁量幅度为“警告、责令限期停止活动、撤销登记”，根据不同违法情节划分为“警告”、“责令限期停止活动3个月”、“责令限期停止活动6个月”、“撤销登记”四个基础裁量阶次。</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社会团体违反《社会团体登记管理条例》第三十四条规定，违反《社会团体登记管理条例》以外的其他法律、法规，有关国家机关认为应当撤销登记的，其行为属于基础裁量A档。依据《社会团体登记管理条例》第三十四条的规定，上述违法行为无需细化裁量基准，对社会团体予以撤销登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行政相对人违反《社会团体登记管理条例》第九条、第三条第一款、《取缔非法民间组织暂行办法》第二条规定，未经批准擅自开展社会团体筹备活动的，未经登记擅自以社会团体名义进行活动的，被撤销登记的社会团体继续以社会团体名义进行活动的，其行为属于基础裁量B档。依据《社会团体登记管理条例》第三十五条、《取缔非法民间组织暂行办法》第三条的规定，上述违法行为无需细化裁量基准，对行政相对人予以没收非法财产。</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行业协会违反《中华人民共和国反垄断法》第十六条规定，组织本行业的经营者达成垄断协议情节严重的，其行为属于基础裁量A档。依据《中华人民共和国反垄断法》第四十六条第三款的规定，上述违法行为无需细化裁量基准，对行业协会予以撤销登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行业协会违反《价格违法行为行政处罚规定》第六条规定，组织经营者相互串通，操纵市场价格情节严重的，捏造、散布涨价信息，扰乱市场价格秩序，情节严重的，除生产自用外，超出正常的存储数量或者存储周期，大量囤积市场供应紧张、价格发生异常波动的商品，经价格主管部门告诫仍继续囤积，情节严重的，利用其它手段哄抬价格，推动商品价格过快、过高上涨，情节严重的，其行为属于基础裁量A档。依据《价格违法行为行政处罚规定》第五条第三款、第六条的规定，上述违法行为无需细化裁量基准，对行业协会予以撤销登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宗教团体违反《宗教事务条例》第四十条第二款、第六条第一款、第四条第一款、第三十五条、第四十一条第(六)项规定，在主办大型宗教活动过程中发生危害公共安全或者严重破坏社会秩序负有责任的，未按规定办理变更登记或者备案手续情节严重的，违反本条例第四条规定，违背宗教的独立自主自办原则情节严重的，违反国家有关规定接受境内外捐赠情节严重的，拒不接受登记管理机关依法实施的监督管理情节严重的，其行为属于基础裁量A档。依据《宗教事务条例》第四十条第二款、第四十一条第(一)项、第(四)项、第(五)项、第(六)项的规定，上述违法行为无需细化裁量基准，对宗教团体予以撤销登记，有非法财物的，予以没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节  殡葬部分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行政相对人违反《殡葬管理条例》第八条第一款、第九条第一款、第十一条规定，未经批准，擅自兴建殡葬设施的,墓穴占地面积超过省、自治区、直辖市人民政府规定标准的，其行为属于基础裁量A档。依据《殡葬管理条例》第十八条、第十九条的规定，上述违法行为的裁量幅度为“没收违法所得，可以并处违法所得1倍以上3倍以下的罚款”，根据不同违法情节划分为“没收违法所得，可以并处违法所得1倍以上，2倍以下的罚款”、“没收违法所得，并处违法所得1倍以上，2倍以下的罚款”、“没收违法所得，并处违法所得2倍以上，3倍以下的罚款”三个基础裁量阶次。</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行政相对人违反《殡葬管理条例》第十六条规定，制造、销售不符合国家技术标准的殡葬设备的,其行为属于基础裁量A档。依据《殡葬管理条例》第二十二条的规定，上述违法行为的裁量幅度为“可以并处制造、销售金额1倍以上3倍以下的罚款”，根据不同违法情节划分为“可以处制造、销售金额1倍以上，2倍以下的罚款”、“处制造、销售金额1倍以上，2倍以下的罚款”、“处制造、销售金额2倍以上，3倍以下的罚款”三个基础裁量阶次。</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行政相对人违反《殡葬管理条例》第十七条规定，制造、销售封建迷信殡葬用品的,其行为属于基础裁量B档。依据《殡葬管理条例》第二十二条第二款规定，上述违法行为的裁量幅度为“没收封建迷信殡葬用品，可以并处违法所得1倍以上3倍以下的罚款”，根据不同违法情节划分为“没收封建迷信殡葬用品，可以并处违法所得1倍以上，2倍以下的罚款”、“没收封建迷信殡葬用品，并处违法所得1倍以上，2倍以下的罚款”、“没收封建迷信殡葬用品，并处违法所得2倍以上，3倍以下的罚款”三个基础裁量阶次。</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节  社会救助部分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15" w:name="_GoBack"/>
      <w:bookmarkEnd w:id="15"/>
      <w:r>
        <w:rPr>
          <w:rFonts w:hint="eastAsia" w:ascii="仿宋_GB2312" w:hAnsi="仿宋_GB2312" w:eastAsia="仿宋_GB2312" w:cs="仿宋_GB2312"/>
          <w:sz w:val="32"/>
          <w:szCs w:val="32"/>
        </w:rPr>
        <w:t>行政相对人违反《西藏自治区城乡最低生活保障实施办法（试行）》第四十六条第二款规定，对“采取虚报、隐瞒、伪造等手段，骗取享受城乡最低生活保障金的；在领取城乡最低生活保障金期间，家庭成员或家庭收入、财产状况发生变动，不按规定告知县（区）民政部门或乡（镇）人民政府（街道办事处）的；在城乡最低生活保障申报审批过程中，拒不配合家庭经济状况和财产状况等调查，提供虚假现场、虚假信息，甚至辱骂、殴打、威胁有关工作人员的；其它违反城乡最低生活保障政策的情形”等行为，其行为属于基础裁量B档。依据《西藏自治区城乡最低生活保障实施办法（试行）》第四十六条的规定，上述违法行为的裁量幅度为“可以处非法获取的保障补助资金金额1倍以上3倍以下的罚款”，根据不同违法情节划分为“处非法获取的保障补助资金金额l倍以上2倍以下的罚款”、“处非法获取的保障补助资金金额2倍以上3倍以下的罚款”、“处非法获取的保障补助资金金额3倍的罚款”三个基础裁量阶次。</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节  社会福利机构部分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养老机构管理办法》第四十六条之规定，养老机构有“未建立入院评估制度或者未按照规定开展评估活动的；未与老年人或者其代理人签订服务协议，或者未按照协议约定提供服务的；未按照有关强制性国家标准提供服务的；工作人员的资格不符合规定的；利用养老机构的房屋、场地、设施开展与养老服务宗旨无关的活动的；未依照本办法规定预防和处置突发事件的；歧视、侮辱、虐待老年人以及其他侵害老年人人身和财产权益行为的；向负责监督检查的民政部门隐瞒有关情况、提供虚假材料或者拒绝提供反映其活动情况真实材料的；法律、法规、规章规定的其他违法行为”之一的，上述违法行为的裁量幅度为“由民政部门责令改正，给予警告；情节严重的，处以3万元以下的罚款”。对于情节严重的，根据不同违法情节划分为“处以1万元以上，2万元以下的罚款”、“处以2万元以上，3万元以下的罚款”、“处以3万元的罚款”三个基础裁量阶次。</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节  区划地名和界线界桩部分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行政相对人违反《西藏自治区地名管理办法》第二十八条规定，“使用非标准地名的责令限期整改；逾期不改的”，其行为属于基础裁量C档，上述违法行为的裁量幅度为：处100元以上500元以下罚款，并强制改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相对人违反《西藏自治区地名管理办法》第二十八条规定，“擅自命名、更名的，责令停止使用；拒不执行的”，其行为属于基础裁量C档，上述违法行为的裁量幅度为：对个人处50元以上200元以下罚款，对单位处500元以上1000元以下罚款，并强制改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相对人违反《西藏自治区地名管理办法》第二十八条规定，“未经审定出版公开地名密级出版物的”，其行为属于基础裁量C档，上述违法行为的裁量幅度为：责令停止发行，处1000元以上5000元以下罚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政相对人违反《西藏自治区地名管理办法》第二十八条规定，“擅自设置、移位、涂改、遮挡地名标志的”，其行为属于基础裁量C档，上述违法行为的裁量幅度为：责令限期恢复原状，拒不执行的，处标志工本费2倍以下的罚款，但最高不超过1000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行政相对人违反《西藏自治区地名管理办法》第二十八条规定，“地名的藏汉译写不一致，用字不当，书写不规范的”，其行为属于基础裁量C档，上述违法行为的裁量幅度为：责令其修改，拒不执行的，对个人处50元以上，200元以下的罚款，单位处500元以上1000以下的罚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行政相对人违反《西藏自治区地名管理办法》第二十八条规定，“损坏地名标志的”，其行为属于基础裁量C档，上述违法行为的裁量幅度为：责令其赔偿，对责任者处标志工本费3倍以下的罚款，但最高不超过1000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行政相对人违反《西藏自治区地名管理办法》第二十八条规定，“地名更名后，超过半年仍未更换地名标志的或地名废名后，地名标志没有及时撤销的”，其行为属于基础裁量C档，上述违法行为的裁量幅度为：对个人处50元以上200元以下罚款，对单位处500元以上1000元以下罚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（八）行政相对人违反《西藏自治区地名管理办法》第二十八条规定，“对偷窃、故意损毁地名标志的”，其行为由公安机关依据《中华人民共和国治安管理处罚条例》的规定予以处罚。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行政相对人违反《西藏自治区地名管理办法》第二十八条规定，“对擅自命名、更名或使用不规范地名的单位或个人”，根据不同违法情节划分为“应发送违章使用地名通知书，限期纠正”、“对逾期不改或情节严重、造成不良后果的，地名管理部门应根据有关规定进行处罚”两个基础裁量阶次。</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行政相对人违反《西藏自治区实施〈行政区域界线管理条例〉办法》第二十一条规定，故意损毁或者擅自移动其他行政区域界线标志物的，其行为属于基础裁量C档。依据《行政区域界线管理条例》第十七条的规定，上述违法行为的裁量幅度为“1000元以下的罚款”，根据不同违法情节划分为“500元以下罚款”、“500元以上1000元以下罚款”二个基础裁量阶次。</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行政相对人违反《西藏自治区实施〈行政区域界线管理条例〉办法》第二十二条规定，擅自编制行政区域界线详图的，绘制的地图的行政区域界线的画法与行政区域界线详图的画法不一致的，其行为属于基础裁量B档。依据《行政区域界线管理条例》第十八条的规定，上述违法行为的裁量幅度为“没收违法编制的行政区域界线详图和违法所得，并处1万元以下的罚款”，根据不同违法情节划分为“没收违法编制的行政区域界线详图和违法所得，并处2000元以下罚款”、“没收违法编制的行政区域界线详图和违法所得，并处2000元以上5000元以下罚款”、“没收违法编制的行政区域界线详图和违法所得，并处5000元以上1万元以下罚款”三个基础裁量阶次。</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节  福利彩票部分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彩票代销者违反《彩票管理条例》第十五条第二款、第十六条、第十八条规定，委托他人代销彩票的，转借、出租、出售彩票投注专用设备的，进行虚假性、误导性宣传的，以诋毁同业者等手段进行不正当竞争的，向未成年人销售彩票的，以赊销或者信用方式销售彩票的，其行为属于基础裁量B档。依据《彩票管理条例》第四十一条第一款的规定，上述违法行为的裁量幅度为“2000元以上1万元以下罚款；有违法所得的，没收违法所得”，根据不同违法情节划分为“2000元以上5000元以下罚款，有违法所得的，没收违法所得”、“5000元以上8000元以下罚款，有违法所得的，没收违法所得”、“8000元以上1万元以下罚款，有违法所得的，没收违法所得”三个基础裁量阶次。</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节  慈善组织部分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公募基金会以外的其他慈善组织违反《慈善法》第九十八条规定，符合“未按照慈善宗旨开展活动的;私分、挪用、截留或者侵占慈善财产的;接受附加违反法律法规或者违背社会公德条件的捐赠，或者对受益人附加违反法律法规或者违背社会公德的条件的”情形之一的，根据不同违法情节划分为“由民政部门责令限期改正”、“逾期不改正的，吊销登记证书并予以公告”两个基础裁量阶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慈善组织违反《慈善法》第九十九条规定，符合“违反本法第十四条规定造成慈善财产损失的;将不得用于投资的财产用于投资的;擅自改变捐赠财产用途的;开展慈善活动的年度支出或者管理费用的标准违反本法第六十条规定的;未依法履行信息公开义务的;未依法报送年度工作报告、财务会计报告或者报备募捐方案的、泄露捐赠人、志愿者、受益人个人隐私以及捐赠人、慈善信托的委托人不同意公开的姓名、名称、住所、通讯方式等信息的”情形之一的，根据不同违法情节划分为“由民政部门予以警告、责令限期改正”、“逾期不改正的，责令限期停止活动并进行整改”两个基础裁量阶次。慈善组织有前两款规定的情形，经依法处理后一年内再出现前款规定的情形，或者有其他情节严重情形的，其行为属于基础裁量A档,依据《慈善法》第九十九条规定，上述违法行为无需细化裁量基准，由民政部门吊销登记证书并予以公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慈善组织符合慈善法第一百条“慈善组织有本法第九十八条、第九十九条规定的情形，有违法所得的”情形的，其行为属于基础裁量B档。上述违法行为的裁量幅度为“由民政部门予以没收;对直接负责的主管人员和其他直接责任人员处2万元以上5万元以下罚款”、“由民政部门予以没收;对直接负责的主管人员和其他直接责任人员处5万元以上10万元以下罚款”、“由民政部门予以没收;对直接负责的主管人员和其他直接责任人员处10万元以上20万元以下罚款”三个基础裁量阶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慈善组织违反《慈善法》第一百零一条规定，开展募捐活动具有“不具有公开募捐资格的组织或者个人开展公开募捐的;通过虚构事实等方式欺骗、诱导募捐对象实施捐赠的;向单位或者个人摊派或者变相摊派的;妨碍公共秩序、企业生产经营或者居民生活的”情形之一的，其行为属于基础裁量A档。上述违法行为的裁量幅度为“对有关组织或者个人处2万元以上20万元以下罚款”。根据不同违法情节划分为“对有关组织或者个人处2万元以上5万元以下罚款”、“对有关组织或者个人处5万元以上10万元以下罚款”、“对有关组织或者个人处10万元以上20万元以下罚款”三个基础裁量阶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慈善组织未按照《慈善法》第一百零二条依法向捐赠人开具捐赠票据、依法向志愿者出具志愿服务记录证明或者及时主动向捐赠人反馈有关情况的，根据不同违法情节划分为“由民政部门予以警告、责令限期改正”、“逾期不改正的，责令限期停止活动”两个基础裁量阶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慈善组织弄虚作假骗取税收优惠的，依据《慈善法》第一百零三条规定，其行为属于基础裁量A档。上述违法行为的裁量幅度为“由税务机关依法查处”“情节严重的，由民政部门吊销登记证书并予以公告”两个基础裁量阶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慈善组织从事、资助危害国家安全或者社会公共利益活动的，依据《慈善法》第一百零四条规定，其行为属于基础裁量A档。上述违法行为无需细化裁量基准，直接由有关机关依法查处，由民政部门吊销登记证书并予以公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慈善信托的受托人有“将信托财产及其收益用于非慈善目的的;未按照规定将信托事务处理情况及财务状况向民政部门报告或者向社会公开的”情形之一的，根据《慈善法》第一百零五条，由民政部门予以警告，责令限期改正;有违法所得的，由民政部门予以没收;对直接负责的主管人员和其他直接责任人员处2万元以上20万元以下罚款。罚款额度根据不同违法情节划分为“对直接负责的主管人员和其他直接责任人员处2万元以上5万元以下罚款”、“对直接负责的主管人员和其他直接责任人员处5万元以上10万元以下罚款”、“对直接负责的主管人员和其他直接责任人员处10万元以上20万元以下罚款”三个基础裁量阶次。</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bookmarkStart w:id="6" w:name="第三章_从轻、减轻、从重、加重处罚的适用"/>
      <w:bookmarkEnd w:id="6"/>
      <w:bookmarkStart w:id="7" w:name="sub19983817_3"/>
      <w:bookmarkEnd w:id="7"/>
      <w:bookmarkStart w:id="8" w:name="3"/>
      <w:bookmarkEnd w:id="8"/>
      <w:r>
        <w:rPr>
          <w:rFonts w:hint="eastAsia" w:ascii="黑体" w:hAnsi="黑体" w:eastAsia="黑体" w:cs="黑体"/>
          <w:sz w:val="32"/>
          <w:szCs w:val="32"/>
        </w:rPr>
        <w:t>第三章  从轻、减轻、从重、加重处罚的适用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  从轻处罚是指</w:t>
      </w:r>
      <w:r>
        <w:rPr>
          <w:rFonts w:hint="eastAsia" w:ascii="仿宋_GB2312" w:hAnsi="仿宋_GB2312" w:eastAsia="仿宋_GB2312" w:cs="仿宋_GB2312"/>
          <w:sz w:val="32"/>
          <w:szCs w:val="32"/>
          <w:lang w:eastAsia="zh-CN"/>
        </w:rPr>
        <w:t>洛扎县民政局（退役军人事务局）</w:t>
      </w:r>
      <w:r>
        <w:rPr>
          <w:rFonts w:hint="eastAsia" w:ascii="仿宋_GB2312" w:hAnsi="仿宋_GB2312" w:eastAsia="仿宋_GB2312" w:cs="仿宋_GB2312"/>
          <w:sz w:val="32"/>
          <w:szCs w:val="32"/>
        </w:rPr>
        <w:t>依法对违法行为进行处罚时，在行政处罚基础裁量档内，适用较轻的种类或者选择法定幅度中较低的部分予以处罚。主要包含两种情形：</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    （一）在对应的行政处罚基础裁量档规定的处罚种类中，适用较轻的处罚种类进行处罚；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    （二）在对应的行政处罚基础裁量档规定有处罚幅度时，选择该幅度内较低部分予以处罚，一般不得高于幅度中限。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  减轻处罚是指</w:t>
      </w:r>
      <w:r>
        <w:rPr>
          <w:rFonts w:hint="eastAsia" w:ascii="仿宋_GB2312" w:hAnsi="仿宋_GB2312" w:eastAsia="仿宋_GB2312" w:cs="仿宋_GB2312"/>
          <w:sz w:val="32"/>
          <w:szCs w:val="32"/>
          <w:lang w:eastAsia="zh-CN"/>
        </w:rPr>
        <w:t>洛扎县民政局（退役军人事务局）</w:t>
      </w:r>
      <w:r>
        <w:rPr>
          <w:rFonts w:hint="eastAsia" w:ascii="仿宋_GB2312" w:hAnsi="仿宋_GB2312" w:eastAsia="仿宋_GB2312" w:cs="仿宋_GB2312"/>
          <w:sz w:val="32"/>
          <w:szCs w:val="32"/>
        </w:rPr>
        <w:t>依法对违法行为进行处罚时，在违法行为对应的行政处罚基础裁量档以下，在法定处罚种类和幅度内，适用较轻的处罚种类或者选择法定幅度中较低的部分予以处罚。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第八条 </w:t>
      </w:r>
      <w:r>
        <w:rPr>
          <w:rFonts w:hint="eastAsia" w:ascii="仿宋_GB2312" w:hAnsi="仿宋_GB2312" w:eastAsia="仿宋_GB2312" w:cs="仿宋_GB2312"/>
          <w:sz w:val="32"/>
          <w:szCs w:val="32"/>
        </w:rPr>
        <w:t> 从重处罚是指</w:t>
      </w:r>
      <w:r>
        <w:rPr>
          <w:rFonts w:hint="eastAsia" w:ascii="仿宋_GB2312" w:hAnsi="仿宋_GB2312" w:eastAsia="仿宋_GB2312" w:cs="仿宋_GB2312"/>
          <w:sz w:val="32"/>
          <w:szCs w:val="32"/>
          <w:lang w:eastAsia="zh-CN"/>
        </w:rPr>
        <w:t>洛扎县民政局（退役军人事务局）</w:t>
      </w:r>
      <w:r>
        <w:rPr>
          <w:rFonts w:hint="eastAsia" w:ascii="仿宋_GB2312" w:hAnsi="仿宋_GB2312" w:eastAsia="仿宋_GB2312" w:cs="仿宋_GB2312"/>
          <w:sz w:val="32"/>
          <w:szCs w:val="32"/>
        </w:rPr>
        <w:t>依法对违法行为进行处罚时，在对应的行政处罚基础裁量档内，适用较重的种类或者选择幅度中较高的部分予以处罚。主要包含两种情形：</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    （一）在对应的行政处罚基础裁量档规定的几种处罚种类中，适用较重的处罚种类进行处罚；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    （二）在对应的行政处罚基础裁量档规定有处罚幅度时，选择该幅度内较高部分予以处罚，一般不得低于幅度中限。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  加重处罚是指</w:t>
      </w:r>
      <w:r>
        <w:rPr>
          <w:rFonts w:hint="eastAsia" w:ascii="仿宋_GB2312" w:hAnsi="仿宋_GB2312" w:eastAsia="仿宋_GB2312" w:cs="仿宋_GB2312"/>
          <w:sz w:val="32"/>
          <w:szCs w:val="32"/>
          <w:lang w:eastAsia="zh-CN"/>
        </w:rPr>
        <w:t>洛扎县民政局（退役军人事务局）</w:t>
      </w:r>
      <w:r>
        <w:rPr>
          <w:rFonts w:hint="eastAsia" w:ascii="仿宋_GB2312" w:hAnsi="仿宋_GB2312" w:eastAsia="仿宋_GB2312" w:cs="仿宋_GB2312"/>
          <w:sz w:val="32"/>
          <w:szCs w:val="32"/>
        </w:rPr>
        <w:t>依法对违法行为进行处罚时，在违法行为对应的行政处罚基础裁量档之上，在法定处罚种类和幅度内，适用较重的处罚种类或者选择法定幅度中较高的部分予以处罚。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  当事人有下列情形之一的，应当依法从轻或者减轻处罚：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    （一）主动消除或者减轻违法行为危害后果的；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    （二）受他人胁迫有违法行为的；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    （三）配合民政部门查处违法行为有立功表现的；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    （四）违法行为人已满十四周岁但不满十八周岁的；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    （五）其他依法应当从轻、减轻行政处罚的情形。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  当事人有下列情形之一的，可以依法从轻或者减轻处罚：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    （一）能够主动改正或者及时中止违法行为的；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    （二）违法行为社会危害性较小或者尚未产生明显社会危害后果的；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（三）在共同违法行为中起次要作用或者辅助作用的；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（四）积极配合调查，如实陈述违法事实的；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（五）举报他人违法行为被查证属实的，或如实反映行政机关尚不掌握的自身违法行为的；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（六）其他依法可以从轻或减轻行政处罚的情形。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  当事人有下列情形之一的，应当从重、加重行政处罚：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    （一）隐匿、销毁违法证据的；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    （二）采取暴力手段抗拒有关机关检查、调查的。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  当事人有下列情形之一的，可以从重、加重行政处罚：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    （一）违法行为持续时间长的；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    （二）多次进行相同违法行为的；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    （三）违法行为影响范围大的；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    （四）违法行为造成严重后果的；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    （五）当事人曾因相同或者类似违法行为受到过行政处罚、刑事处罚或被有关机关采取过行政监管措施的；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    （六）被民政部门责令改正，拒不改正或不按要求改正的；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    （七）对民政部门依法开展的检查、调查，不予配合的；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    （八）隐瞒真实情况、编造虚假情况，或采取其他行为妨碍有关机关检查、调查的；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    （九）其他依法可以从重、加重行政处罚的情形。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  当事人有下列情形之一的，依法不予行政处罚：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    （一）违法行为轻微并及时纠正，没有造成危害后果的；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    （二）违法行为人年龄不满十四周岁的；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    （三）违法行为在两年内未被发现的，但法律另有规定的除外；</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    （四）精神病人在不能辨认或者不能控制自己行为时有违法行为的；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    （五）其他依法不予行政处罚的情形。</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bookmarkStart w:id="9" w:name="sub19983817_4"/>
      <w:bookmarkEnd w:id="9"/>
      <w:bookmarkStart w:id="10" w:name="4"/>
      <w:bookmarkEnd w:id="10"/>
      <w:bookmarkStart w:id="11" w:name="第四章_实施裁量基准制度的要求"/>
      <w:bookmarkEnd w:id="11"/>
      <w:r>
        <w:rPr>
          <w:rFonts w:hint="eastAsia" w:ascii="黑体" w:hAnsi="黑体" w:eastAsia="黑体" w:cs="黑体"/>
          <w:sz w:val="32"/>
          <w:szCs w:val="32"/>
        </w:rPr>
        <w:t>第四章  实施裁量基准制度的要求</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洛扎县民政局（退役军人事务局）</w:t>
      </w:r>
      <w:r>
        <w:rPr>
          <w:rFonts w:hint="eastAsia" w:ascii="仿宋_GB2312" w:hAnsi="仿宋_GB2312" w:eastAsia="仿宋_GB2312" w:cs="仿宋_GB2312"/>
          <w:sz w:val="32"/>
          <w:szCs w:val="32"/>
        </w:rPr>
        <w:t>必须在现行有效的法律、法规、规章规定的民政行政处罚种类、范围、幅度内行使行政处罚自由裁量权。</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洛扎县民政局（退役军人事务局）</w:t>
      </w:r>
      <w:r>
        <w:rPr>
          <w:rFonts w:hint="eastAsia" w:ascii="仿宋_GB2312" w:hAnsi="仿宋_GB2312" w:eastAsia="仿宋_GB2312" w:cs="仿宋_GB2312"/>
          <w:sz w:val="32"/>
          <w:szCs w:val="32"/>
        </w:rPr>
        <w:t>行使行政处罚自由裁量权必须遵循处罚法定的原则。充分听取当事人的意见，依法保障当事人的合法权利。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行使行政处罚自由裁量权必须遵循公平公正的原则。对违法事实、性质、情节、社会危害程度等因素基本相同的违法当事人实施行政处罚时，适用的处罚种类和幅度基本一致。禁止处罚畸轻畸重、重责轻罚、轻责重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  行使行政处罚自由裁量权必须遵循教育和处罚相结合的原则。既要制裁违法行为，又要教育当事人自觉遵守法律。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洛扎县民政局（退役军人事务局）</w:t>
      </w:r>
      <w:r>
        <w:rPr>
          <w:rFonts w:hint="eastAsia" w:ascii="仿宋_GB2312" w:hAnsi="仿宋_GB2312" w:eastAsia="仿宋_GB2312" w:cs="仿宋_GB2312"/>
          <w:sz w:val="32"/>
          <w:szCs w:val="32"/>
        </w:rPr>
        <w:t>在实施行政处罚裁量时，应当把违法行为性质、违法行为情节、违法行为社会危害程度、当事人主观过错、当事人消除违法行为后果自觉度和当事人同类性质违法行为累计次数作为裁量要素。当事人同一违法行为的违法情节可对应不同行政处罚基础裁量档的，按照其对应的最高基础裁量档予以裁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   在案件调查终结报告中，应当对行政处罚裁量情况予以说明。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对按照行政处罚裁量基准适用较重处罚或者减轻处罚的重大、疑难和复杂案件，且符合集体讨论条件的，应当通过集体讨论，才能做出处理决定。法律、法规、规章对行政处罚程序有特别规定的，按照其规定执行。</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bookmarkStart w:id="12" w:name="5"/>
      <w:bookmarkEnd w:id="12"/>
      <w:bookmarkStart w:id="13" w:name="sub19983817_5"/>
      <w:bookmarkEnd w:id="13"/>
      <w:bookmarkStart w:id="14" w:name="第五章_附则"/>
      <w:bookmarkEnd w:id="14"/>
      <w:r>
        <w:rPr>
          <w:rFonts w:hint="eastAsia" w:ascii="黑体" w:hAnsi="黑体" w:eastAsia="黑体" w:cs="黑体"/>
          <w:sz w:val="32"/>
          <w:szCs w:val="32"/>
        </w:rPr>
        <w:t>第五章  附则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  本《基准》由</w:t>
      </w:r>
      <w:r>
        <w:rPr>
          <w:rFonts w:hint="eastAsia" w:ascii="仿宋_GB2312" w:hAnsi="仿宋_GB2312" w:eastAsia="仿宋_GB2312" w:cs="仿宋_GB2312"/>
          <w:sz w:val="32"/>
          <w:szCs w:val="32"/>
          <w:lang w:eastAsia="zh-CN"/>
        </w:rPr>
        <w:t>洛扎县民政局（退役军人事务局）</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  本《基准》自发布之日起实施。         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23E3B"/>
    <w:rsid w:val="05E60C6B"/>
    <w:rsid w:val="0B6B1378"/>
    <w:rsid w:val="12F561B2"/>
    <w:rsid w:val="2D157936"/>
    <w:rsid w:val="436C6ADC"/>
    <w:rsid w:val="44A45176"/>
    <w:rsid w:val="5ED44558"/>
    <w:rsid w:val="7C2C4572"/>
    <w:rsid w:val="7DAF4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2025-08-27T10:54:00Z</dcterms:created>
  <dc:creator>格桑</dc:creator>
  <cp:lastModifiedBy>Administrator</cp:lastModifiedBy>
  <cp:lastPrinted>2025-09-04T09:43:00Z</cp:lastPrinted>
  <dcterms:modified xsi:type="dcterms:W3CDTF">2025-09-04T10:42:53Z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TemplateDocerSaveRecord">
    <vt:lpwstr>eyJoZGlkIjoiZWU4ODdhYzVmMDM4NmViYjExYzZhMzU3ZDA4MTRkZDkiLCJ1c2VySWQiOiI4ODgxNzcxODcifQ==</vt:lpwstr>
  </property>
  <property fmtid="{D5CDD505-2E9C-101B-9397-08002B2CF9AE}" pid="4" name="ICV">
    <vt:lpwstr>559177D697694ACBA8C091DEF834738B_12</vt:lpwstr>
  </property>
</Properties>
</file>